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02/04/06-18/00081866</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финансов Российской Федерации (Минфин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Федеральная налоговая служба (ФНС России)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непредставление годовой бухгалтерской (финансовой) отчетности и аудиторского заключения о ней в государственный информационный ресурс)</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в законодательстве Российской Федерации специальных норм, устанавливающих ответственность за непредставление или несвоевременное представление в налоговые органы годовой бухгалтерской (финансовой) отчетности и аудиторского заключения о ней в целях формирования государственного информационного ресурса, предусмотренного статьей 18 Федерального закона «О бухгалтерском учете». Установленные статьей 19.7 Кодекса Российской Федерации об административных правонарушениях размеры штрафных санкций, налагаемых на юридических лиц за непредставление информации в государственные органы, незначительны и не могут служить эффективной мерой предупреждения невыполнения установленных требований представления бухгалтерской (финансовой) отчетности в государственный информационный ресурс</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план реализации государственной программы Российской Федерации «Управление государственными финансами и регулирование финансовых рынков» на 2018 год и на плановый период 2019 - 2020 годов (приложение № 6 к государственной программе в редакции постановления Правительства Российской Федерации от 29.03.2018 № 340, контрольное событие 7.15); паспорт ведомственного проекта Минфина России «Упрощение порядка представления бухгалтерской (финансовой) отчетности в государственные органы» (пункт 23), утвержденного координационным органом проектной деятельности Минфина России  (протокол от 24.04.2018 № 3)</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обеспечение полноты, актуальности, достоверности сведений государственного информационного ресурса бухгалтерской (финансовой) отчетности, и тем самым, реализация прав граждан, организаций, государства на получение надежной информации в сфере экономической деятельности, а также удовлетворение информационных потребностей государства для обеспечения проводимой государственной политики в различных областях</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установление административной ответственности за непредставление или несвоевременное представление в налоговый орган годовой бухгалтерской (финансовой) отчетности в целях формирования государственного информационного ресурса, представление ее в неполном составе, непредставление или несвоевременное представление аудиторского заключения о бухгалтерской (финансовой) отчетности, за нарушение требований, установленных порядком их представления</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Бакулина Татьяна Сергеевна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советник</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646-43-43, доб. 0739</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0856@minfin.ru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содержит положения, изменяющие штрафные санкции, ранее применяемые в соответствии с Кодексом Российской Федерации об административных правонарушениях за непредставление или несвоевременное представление годовой бухгалтерской (финансовой) отчетности и аудиторского заключения о ней в соответствии с требованиями статьи 18 Федерального закона «О бухгалтерском учете»</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законодательстве Российской Федерации отсутствуют специальные нормы, устанавливающие ответственность за непредставление или несвоевременное представление в налоговые органы годовой бухгалтерской (финансовой) отчетности и аудиторского заключения о ней в целях формирования государственного информационного ресурса, предусмотренного статьей 18 Федерального закона «О бухгалтерском учете».  Между тем, этот ресурс является, практически, единственным общедоступным источником информации о деятельности организаций, который активно используется гражданами, организациями, государственными органами. Так, по данным Росстата, в 2017 г. количество запросов заинтересованных лиц на предоставление содержащихся в информационном ресурсе данных бухгалтерской отчетности составило более 8 млн.
Установленные статьей 19.7 Кодекса Российской Федерации об административных правонарушениях размеры штрафных санкций, налагаемых на юридических лиц за непредставление информации в государственные органы, незначительны и не могут служить эффективной мерой предупреждения невыполнения установленных требований представления бухгалтерской (финансовой) отчетности в государственный информационный ресурс</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невыполнение организациями требования представления отчетности и в связи с этим формирование государственного информационного ресурса не в полном объеме и как следствие нарушение интересов широкого круга пользователей (граждан, организаций и государства) в получении надежной и достоверной информации бухгалтерской (финансовой) отчетности,  используемой ими для различных целей, в том числе, в целях реализации их законных прав в сфере предпринимательской деятельности;  потеря части государственного статистического ресурса, используемого для целей формирования экономической, бюджетной, налоговой политики, расчета макроэкономических показателей, для расчетов в системе национального счетоводства, и в частности валового внутреннего продукта, для решения ряда других задач</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проблема связана с наличием случаев непредставления обязательного экземпляра годовой бухгалтерской (финансовой) отчетности в государственный информационный ресурс. Так, по информации Росстата,  в 2018 г. обязательный экземпляр годовой бухгалтерской (финансовой) отчетности  за 2017 г. в органы государственной статистики представили 2,38 млн. организаций из около 4 млн. организаций, обязанных представлять такую отчетность. Эти данные свидетельствуют о недостаточном уровне дисциплины при предоставлении бухгалтерской (финансовой) отчетности в государственный информационный ресурс, в результате чего возникает необходимость введения эффективных мер предупреждения невыполнения установленных требований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административной ответственности за непредставление или несвоевременное представление  в налоговый орган годовой бухгалтерской (финансовой) отчетности в целях формирования государственного информационного ресурса, представление ее в неполном составе, непредставление или несвоевременное представление аудиторского заключения о бухгалтерской (финансовой) отчетности, за нарушение требований, установленных порядком их представления </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1 января 2021 г.</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 320 (основное мероприятие 7.7) и план реализации государственной программы на 2018 год и на плановый период 2019 - 2020 годов (приложение № 6 к государственной программе в редакции постановления Правительства Российской Федерации от 29.03.2018 № 340, контрольное событие 7.15)</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предлагается дополнить Кодекс Российской Федерации об административных правонарушениях новыми составами административных правонарушений, устанавливающими ответственность за непредставление или несвоевременное представление в налоговый орган годовой бухгалтерской (финансовой) отчетности в целях формирования государственного информационного ресурса, представление ее в неполном составе, непредставление или несвоевременное представление аудиторского заключения о бухгалтерской (финансовой) отчетности, за нарушение требований, установленных порядком их представления </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иной способ решения проблемы</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Экономические субъекты, обязанные представлять в налоговые органы годовую бухгалтерскую (финансовую) отчетность, а также аудиторское заключение о ней в случае, если такая отчетность подлежит обязательному аудиту, в соответствии со статьей 18 Федерального закона  «О бухгалтерском учете»</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4,4 млн.</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ФНС России, налоговые органы</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федеральный орган исполнительной власти, 1399 налоговых органа (в которые представляется отчетность) </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информация Росстата, ФНС России  </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налоговые органы</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рассмотрение дел об административных правонарушениях, связанных с непредставлением, а также  несвоевременным представлением в налоговые органы годовой бухгалтерской (финансовой) отчетности и аудиторского заключения о ней в целях формирования государственного информационного ресурса</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общем порядке, установленном Кодексом Российской Федерации об административных правонарушениях</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пределах бюджетных ассигнований, предусмотренных ФНС России в федеральном бюджете на руководство и управление в сфере установленных функций</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Федеральная налоговая служба</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рассмотрение дел об административных правонарушениях, связанных с непредставлением, а также  несвоевременным представлением в налоговые органы годовой бухгалтерской (финансовой) отчетности и аудиторского заключения о ней в целях формирования государственного информационного ресурса</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см. пункт 8</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см. пункт 8</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bl>
          <w:p w:rsidR="001F4DB9" w:rsidRDefault="001F33D6"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поступления в федеральный бюджет связаны с оплатой штрафов за непредставление в налоговые органы  годовой бухгалтерской (финансовой) отчетности и аудиторского заключения о ней.  Объем поступлений будет определяться исходя из количества соответствующих правонарушений</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экономические субъекты, обязанные представлять в налоговые органы  годовую бухгалтерскую (финансовую) отчетность, а также аудиторское заключение о ней в случае, если такая отчетность подлежит обязательному аудиту, в соответствии с Федеральным законом  «О бухгалтерском учете»</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 предполагается изменение содержания существующих обязанностей и ограничений</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экономические субъекты, обязанные представлять в налоговые органы  годовую бухгалтерскую (финансовую) отчетность, а также аудиторское заключение о ней в случае, если такая отчетность подлежит обязательному аудиту, в соответствии с Федеральным законом  «О бухгалтерском учете»</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 предполагается изменение содержания существующих обязанностей и ограничений</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предложенный способ решения проблемы не связан с появлением новых рисков и негативных последствий</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мониторинг формирования и использования государственного информационного ресурса бухгалтерской отчетности (на основе данных ФНС России)</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мероприятия не предусматриваются</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0</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обеспечение полноты, актуальности, достоверности сведений государственного информационного ресурса бухгалтерской (финансовой) отчетности</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1F33D6"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доля экономических субъектов, представивших бухгалтерскую (финансовую) отчетность за отчетный год в налоговые органы для формирования государственного информационного ресурса</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проценты</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соотношение количества экономических субъектов, представивших бухгалтерскую (финансовую) отчетность за отчетный год в налоговые органы для формирования государственного информационного ресурса к общему количеству экономических субъектов, имеющих такую обязанность</w:t>
                  </w:r>
                </w:p>
              </w:tc>
            </w:tr>
            <w:tr w:rsidR="00160332" w:rsidTr="00E57FEF">
              <w:tc>
                <w:tcPr>
                  <w:tcW w:w="1516" w:type="pct"/>
                </w:tcPr>
                <w:p w:rsidR="00160332" w:rsidRDefault="001F33D6"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количество выявленных административных правонарушений по статье 15.111 Кодекса Российской Федерации об административных правонарушениях</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единицы</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 требует расчета</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наблюдение за динамикой сведений о выявленных административных правонарушениях по статье 15.111 Кодекса Российской Федерации об административных правонарушениях  на основе данных федерального статистического наблюдения по форме № 1-АЭ «Сведения о выявленных административных правонарушениях в сфере экономики»</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 января 2021 г.</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необходимость эксперимента</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необходимость эксперимента</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необходимость эксперимента</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необходимость эксперимента</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http://regulation.gov.ru/projects#npa=81866</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29.06.2018 г.</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19.07.2018 г.</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Михайлович Татьяна Николаевна (mtn.spb@mail.ru)</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регулирования бухгалтерского учета, финансовой отчетности и аудиторской деятельности</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http://regulation.gov.ru/projects#npa=81866</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Минэкономразвития России, Банк России, Федеральная налоговая служба,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 Институт профессиональных бухгалтеров и аудиторов России (ИПБ России), СРО аудиторов «Российский Союз аудиторов», СРО аудиторов Ассоциация «Содружество» </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Шнейдман Л.З.</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D6" w:rsidRDefault="001F33D6" w:rsidP="00EA7CC1">
      <w:pPr>
        <w:spacing w:after="0" w:line="240" w:lineRule="auto"/>
      </w:pPr>
      <w:r>
        <w:separator/>
      </w:r>
    </w:p>
  </w:endnote>
  <w:endnote w:type="continuationSeparator" w:id="0">
    <w:p w:rsidR="001F33D6" w:rsidRDefault="001F33D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D6" w:rsidRDefault="001F33D6" w:rsidP="00EA7CC1">
      <w:pPr>
        <w:spacing w:after="0" w:line="240" w:lineRule="auto"/>
      </w:pPr>
      <w:r>
        <w:separator/>
      </w:r>
    </w:p>
  </w:footnote>
  <w:footnote w:type="continuationSeparator" w:id="0">
    <w:p w:rsidR="001F33D6" w:rsidRDefault="001F33D6"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2C0999">
          <w:rPr>
            <w:noProof/>
          </w:rPr>
          <w:t>10</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3CBD54A64F436D8D59C829DA33292A"/>
        <w:category>
          <w:name w:val="Общие"/>
          <w:gallery w:val="placeholder"/>
        </w:category>
        <w:types>
          <w:type w:val="bbPlcHdr"/>
        </w:types>
        <w:behaviors>
          <w:behavior w:val="content"/>
        </w:behaviors>
        <w:guid w:val="{DF444F13-6CD1-4631-BE1F-DD9F7DC4A871}"/>
      </w:docPartPr>
      <w:docPartBody>
        <w:p w:rsidR="0076738C" w:rsidRDefault="00DC477A" w:rsidP="00DC477A">
          <w:pPr>
            <w:pStyle w:val="D03CBD54A64F436D8D59C829DA33292A"/>
          </w:pPr>
          <w:r w:rsidRPr="00473438">
            <w:rPr>
              <w:rStyle w:val="a3"/>
            </w:rPr>
            <w:t>Место для ввода текста.</w:t>
          </w:r>
        </w:p>
      </w:docPartBody>
    </w:docPart>
    <w:docPart>
      <w:docPartPr>
        <w:name w:val="D9D47D35586E44529EFF8FEE7BC23853"/>
        <w:category>
          <w:name w:val="Общие"/>
          <w:gallery w:val="placeholder"/>
        </w:category>
        <w:types>
          <w:type w:val="bbPlcHdr"/>
        </w:types>
        <w:behaviors>
          <w:behavior w:val="content"/>
        </w:behaviors>
        <w:guid w:val="{747E062F-69F4-49B1-A4E2-EE96FC29CEC4}"/>
      </w:docPartPr>
      <w:docPartBody>
        <w:p w:rsidR="0076738C" w:rsidRDefault="00DC477A" w:rsidP="00DC477A">
          <w:pPr>
            <w:pStyle w:val="D9D47D35586E44529EFF8FEE7BC23853"/>
          </w:pPr>
          <w:r w:rsidRPr="00473438">
            <w:rPr>
              <w:rStyle w:val="a3"/>
            </w:rPr>
            <w:t>Место для ввода текста.</w:t>
          </w:r>
        </w:p>
      </w:docPartBody>
    </w:docPart>
    <w:docPart>
      <w:docPartPr>
        <w:name w:val="C684E37431F348B097F74155B8D00E59"/>
        <w:category>
          <w:name w:val="Общие"/>
          <w:gallery w:val="placeholder"/>
        </w:category>
        <w:types>
          <w:type w:val="bbPlcHdr"/>
        </w:types>
        <w:behaviors>
          <w:behavior w:val="content"/>
        </w:behaviors>
        <w:guid w:val="{30C85A65-6B8F-4C09-9EEF-CCA15D538712}"/>
      </w:docPartPr>
      <w:docPartBody>
        <w:p w:rsidR="0076738C" w:rsidRDefault="00DC477A" w:rsidP="00DC477A">
          <w:pPr>
            <w:pStyle w:val="C684E37431F348B097F74155B8D00E59"/>
          </w:pPr>
          <w:r w:rsidRPr="00473438">
            <w:rPr>
              <w:rStyle w:val="a3"/>
            </w:rPr>
            <w:t>Место для ввода текста.</w:t>
          </w:r>
        </w:p>
      </w:docPartBody>
    </w:docPart>
    <w:docPart>
      <w:docPartPr>
        <w:name w:val="F3D1F26BA5604BDBB24966C393F80C8F"/>
        <w:category>
          <w:name w:val="Общие"/>
          <w:gallery w:val="placeholder"/>
        </w:category>
        <w:types>
          <w:type w:val="bbPlcHdr"/>
        </w:types>
        <w:behaviors>
          <w:behavior w:val="content"/>
        </w:behaviors>
        <w:guid w:val="{1ADF9CA4-ECBC-47E4-B364-206F602A7857}"/>
      </w:docPartPr>
      <w:docPartBody>
        <w:p w:rsidR="0076738C" w:rsidRDefault="00DC477A" w:rsidP="00DC477A">
          <w:pPr>
            <w:pStyle w:val="F3D1F26BA5604BDBB24966C393F80C8F"/>
          </w:pPr>
          <w:r w:rsidRPr="00473438">
            <w:rPr>
              <w:rStyle w:val="a3"/>
            </w:rPr>
            <w:t>Место для ввода текста.</w:t>
          </w:r>
        </w:p>
      </w:docPartBody>
    </w:docPart>
    <w:docPart>
      <w:docPartPr>
        <w:name w:val="81CA486E878E4FE18D742FAAD596F1DA"/>
        <w:category>
          <w:name w:val="Общие"/>
          <w:gallery w:val="placeholder"/>
        </w:category>
        <w:types>
          <w:type w:val="bbPlcHdr"/>
        </w:types>
        <w:behaviors>
          <w:behavior w:val="content"/>
        </w:behaviors>
        <w:guid w:val="{F43613C2-A6D8-4ACC-BCA8-812B4F9A0451}"/>
      </w:docPartPr>
      <w:docPartBody>
        <w:p w:rsidR="0076738C" w:rsidRDefault="00DC477A" w:rsidP="00DC477A">
          <w:pPr>
            <w:pStyle w:val="81CA486E878E4FE18D742FAAD596F1DA"/>
          </w:pPr>
          <w:r w:rsidRPr="00473438">
            <w:rPr>
              <w:rStyle w:val="a3"/>
            </w:rPr>
            <w:t>Место для ввода текста.</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a3"/>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a3"/>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a3"/>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a3"/>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a3"/>
            </w:rPr>
            <w:t>Место для ввода текста.</w:t>
          </w:r>
        </w:p>
      </w:docPartBody>
    </w:docPart>
    <w:docPart>
      <w:docPartPr>
        <w:name w:val="A151301EE3FE433DA46C698D98882E15"/>
        <w:category>
          <w:name w:val="Общие"/>
          <w:gallery w:val="placeholder"/>
        </w:category>
        <w:types>
          <w:type w:val="bbPlcHdr"/>
        </w:types>
        <w:behaviors>
          <w:behavior w:val="content"/>
        </w:behaviors>
        <w:guid w:val="{CC6CC86A-8D2D-4FA0-8CB4-301781350EB8}"/>
      </w:docPartPr>
      <w:docPartBody>
        <w:p w:rsidR="00E26D0F" w:rsidRDefault="00E26D0F" w:rsidP="00E26D0F">
          <w:pPr>
            <w:pStyle w:val="A151301EE3FE433DA46C698D98882E15"/>
          </w:pPr>
          <w:r w:rsidRPr="00473438">
            <w:rPr>
              <w:rStyle w:val="a3"/>
            </w:rPr>
            <w:t>Место для ввода текста.</w:t>
          </w:r>
        </w:p>
      </w:docPartBody>
    </w:docPart>
    <w:docPart>
      <w:docPartPr>
        <w:name w:val="C6CF4D3D31FF4121AFA0C2A345528EDE"/>
        <w:category>
          <w:name w:val="Общие"/>
          <w:gallery w:val="placeholder"/>
        </w:category>
        <w:types>
          <w:type w:val="bbPlcHdr"/>
        </w:types>
        <w:behaviors>
          <w:behavior w:val="content"/>
        </w:behaviors>
        <w:guid w:val="{DD74BE35-0587-4007-A9AF-768FC02CA791}"/>
      </w:docPartPr>
      <w:docPartBody>
        <w:p w:rsidR="002E64E9" w:rsidRDefault="00DB3FC2" w:rsidP="00DB3FC2">
          <w:pPr>
            <w:pStyle w:val="C6CF4D3D31FF4121AFA0C2A345528EDE"/>
          </w:pPr>
          <w:r w:rsidRPr="00473438">
            <w:rPr>
              <w:rStyle w:val="a3"/>
            </w:rPr>
            <w:t>Место для ввода текста.</w:t>
          </w:r>
        </w:p>
      </w:docPartBody>
    </w:docPart>
    <w:docPart>
      <w:docPartPr>
        <w:name w:val="C161E22BEC5D452B8B3B8A16401BE90D"/>
        <w:category>
          <w:name w:val="Общие"/>
          <w:gallery w:val="placeholder"/>
        </w:category>
        <w:types>
          <w:type w:val="bbPlcHdr"/>
        </w:types>
        <w:behaviors>
          <w:behavior w:val="content"/>
        </w:behaviors>
        <w:guid w:val="{3ED95CBE-A7D7-4EEE-A03D-77B7010020AA}"/>
      </w:docPartPr>
      <w:docPartBody>
        <w:p w:rsidR="002E64E9" w:rsidRDefault="00DB3FC2" w:rsidP="00DB3FC2">
          <w:pPr>
            <w:pStyle w:val="C161E22BEC5D452B8B3B8A16401BE90D"/>
          </w:pPr>
          <w:r w:rsidRPr="00473438">
            <w:rPr>
              <w:rStyle w:val="a3"/>
            </w:rPr>
            <w:t>Место для ввода текста.</w:t>
          </w:r>
        </w:p>
      </w:docPartBody>
    </w:docPart>
    <w:docPart>
      <w:docPartPr>
        <w:name w:val="F3010D57E39C485B8F59656A6C30D350"/>
        <w:category>
          <w:name w:val="Общие"/>
          <w:gallery w:val="placeholder"/>
        </w:category>
        <w:types>
          <w:type w:val="bbPlcHdr"/>
        </w:types>
        <w:behaviors>
          <w:behavior w:val="content"/>
        </w:behaviors>
        <w:guid w:val="{BE6AFCBC-4680-4F13-8B62-20FAF436BFF3}"/>
      </w:docPartPr>
      <w:docPartBody>
        <w:p w:rsidR="002E64E9" w:rsidRDefault="00DB3FC2" w:rsidP="00DB3FC2">
          <w:pPr>
            <w:pStyle w:val="F3010D57E39C485B8F59656A6C30D350"/>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2E00-1CE8-46B8-990C-CF51F2A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22</cp:revision>
  <dcterms:created xsi:type="dcterms:W3CDTF">2015-12-21T09:38:00Z</dcterms:created>
  <dcterms:modified xsi:type="dcterms:W3CDTF">2016-08-26T07:28:00Z</dcterms:modified>
</cp:coreProperties>
</file>