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Ind w:w="-176" w:type="dxa"/>
        <w:tblLayout w:type="fixed"/>
        <w:tblLook w:val="01E0" w:firstRow="1" w:lastRow="1" w:firstColumn="1" w:lastColumn="1" w:noHBand="0" w:noVBand="0"/>
      </w:tblPr>
      <w:tblGrid>
        <w:gridCol w:w="2127"/>
        <w:gridCol w:w="7427"/>
        <w:gridCol w:w="1079"/>
      </w:tblGrid>
      <w:tr w:rsidR="00E74AD7" w:rsidRPr="00893392" w14:paraId="1FB5E727" w14:textId="77777777" w:rsidTr="00713C3F">
        <w:trPr>
          <w:trHeight w:val="1614"/>
        </w:trPr>
        <w:tc>
          <w:tcPr>
            <w:tcW w:w="2127" w:type="dxa"/>
            <w:vMerge w:val="restart"/>
          </w:tcPr>
          <w:p w14:paraId="16C3759D" w14:textId="77777777" w:rsidR="00E74AD7" w:rsidRDefault="00291A3A" w:rsidP="00715A52">
            <w:pPr>
              <w:ind w:left="-108"/>
              <w:jc w:val="both"/>
              <w:rPr>
                <w:lang w:val="en-US"/>
              </w:rPr>
            </w:pPr>
            <w:r>
              <w:rPr>
                <w:noProof/>
              </w:rPr>
              <w:drawing>
                <wp:inline distT="0" distB="0" distL="0" distR="0" wp14:anchorId="652DFDD2" wp14:editId="306F5E6C">
                  <wp:extent cx="1294765" cy="1346200"/>
                  <wp:effectExtent l="0" t="0" r="635" b="6350"/>
                  <wp:docPr id="1" name="Рисунок 1"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765" cy="1346200"/>
                          </a:xfrm>
                          <a:prstGeom prst="rect">
                            <a:avLst/>
                          </a:prstGeom>
                          <a:noFill/>
                          <a:ln>
                            <a:noFill/>
                          </a:ln>
                        </pic:spPr>
                      </pic:pic>
                    </a:graphicData>
                  </a:graphic>
                </wp:inline>
              </w:drawing>
            </w:r>
          </w:p>
          <w:p w14:paraId="6383D61C" w14:textId="77777777" w:rsidR="00362EA7" w:rsidRDefault="00362EA7" w:rsidP="000460F7">
            <w:pPr>
              <w:ind w:left="34"/>
              <w:jc w:val="both"/>
            </w:pPr>
          </w:p>
        </w:tc>
        <w:tc>
          <w:tcPr>
            <w:tcW w:w="7427" w:type="dxa"/>
          </w:tcPr>
          <w:p w14:paraId="53B9D45A" w14:textId="77777777" w:rsidR="00E74AD7" w:rsidRPr="00F02C00" w:rsidRDefault="00E74AD7" w:rsidP="00F02C00">
            <w:pPr>
              <w:spacing w:line="276" w:lineRule="auto"/>
              <w:ind w:left="-108" w:right="-187"/>
              <w:jc w:val="center"/>
              <w:rPr>
                <w:rFonts w:cs="Arial"/>
                <w:b/>
                <w:color w:val="132455"/>
              </w:rPr>
            </w:pPr>
            <w:r w:rsidRPr="00F02C00">
              <w:rPr>
                <w:rFonts w:cs="Arial"/>
                <w:b/>
                <w:color w:val="132455"/>
              </w:rPr>
              <w:t>САМОРЕГУЛИРУЕМАЯ ОРГАНИЗАЦИЯ АУДИТОРОВ</w:t>
            </w:r>
          </w:p>
          <w:p w14:paraId="1B1454EB" w14:textId="77777777" w:rsidR="00E74AD7" w:rsidRPr="00F02C00" w:rsidRDefault="00E74AD7" w:rsidP="00BC1192">
            <w:pPr>
              <w:spacing w:line="276" w:lineRule="auto"/>
              <w:jc w:val="center"/>
              <w:rPr>
                <w:rFonts w:cs="Arial"/>
                <w:b/>
                <w:color w:val="132455"/>
                <w:sz w:val="20"/>
                <w:szCs w:val="20"/>
              </w:rPr>
            </w:pPr>
            <w:r w:rsidRPr="00D80F61">
              <w:rPr>
                <w:rFonts w:cs="Arial"/>
                <w:b/>
                <w:color w:val="132455"/>
              </w:rPr>
              <w:t xml:space="preserve">     </w:t>
            </w:r>
            <w:r w:rsidRPr="004518B8">
              <w:rPr>
                <w:rFonts w:cs="Arial"/>
                <w:b/>
                <w:color w:val="132455"/>
                <w:sz w:val="29"/>
                <w:szCs w:val="29"/>
              </w:rPr>
              <w:t xml:space="preserve">АССОЦИАЦИЯ </w:t>
            </w:r>
            <w:r w:rsidR="00BC1192">
              <w:rPr>
                <w:rFonts w:cs="Arial"/>
                <w:b/>
                <w:color w:val="132455"/>
                <w:sz w:val="29"/>
                <w:szCs w:val="29"/>
              </w:rPr>
              <w:t>«</w:t>
            </w:r>
            <w:r w:rsidRPr="004518B8">
              <w:rPr>
                <w:rFonts w:cs="Arial"/>
                <w:b/>
                <w:color w:val="132455"/>
                <w:sz w:val="29"/>
                <w:szCs w:val="29"/>
              </w:rPr>
              <w:t>СОДРУЖЕСТВО»</w:t>
            </w:r>
            <w:r w:rsidRPr="004518B8">
              <w:rPr>
                <w:sz w:val="29"/>
                <w:szCs w:val="29"/>
              </w:rPr>
              <w:t xml:space="preserve"> </w:t>
            </w:r>
            <w:r w:rsidR="00D80F61">
              <w:rPr>
                <w:sz w:val="28"/>
                <w:szCs w:val="28"/>
              </w:rPr>
              <w:br/>
            </w:r>
            <w:r w:rsidR="00F02C00" w:rsidRPr="00F02C00">
              <w:rPr>
                <w:b/>
                <w:color w:val="002060"/>
                <w:sz w:val="20"/>
                <w:szCs w:val="20"/>
              </w:rPr>
              <w:t>ч</w:t>
            </w:r>
            <w:r w:rsidR="00D80F61" w:rsidRPr="00F02C00">
              <w:rPr>
                <w:b/>
                <w:color w:val="002060"/>
                <w:sz w:val="20"/>
                <w:szCs w:val="20"/>
              </w:rPr>
              <w:t xml:space="preserve">лен Международной Федерации </w:t>
            </w:r>
            <w:r w:rsidR="00F02C00" w:rsidRPr="00F02C00">
              <w:rPr>
                <w:b/>
                <w:color w:val="002060"/>
                <w:sz w:val="20"/>
                <w:szCs w:val="20"/>
              </w:rPr>
              <w:t>Б</w:t>
            </w:r>
            <w:r w:rsidR="00D80F61" w:rsidRPr="00F02C00">
              <w:rPr>
                <w:b/>
                <w:color w:val="002060"/>
                <w:sz w:val="20"/>
                <w:szCs w:val="20"/>
              </w:rPr>
              <w:t>ухгалтеров (</w:t>
            </w:r>
            <w:r w:rsidR="00D80F61" w:rsidRPr="00F02C00">
              <w:rPr>
                <w:b/>
                <w:color w:val="002060"/>
                <w:sz w:val="20"/>
                <w:szCs w:val="20"/>
                <w:lang w:val="en-US"/>
              </w:rPr>
              <w:t>IFAC</w:t>
            </w:r>
            <w:r w:rsidR="00D80F61" w:rsidRPr="00F02C00">
              <w:rPr>
                <w:b/>
                <w:color w:val="002060"/>
                <w:sz w:val="20"/>
                <w:szCs w:val="20"/>
              </w:rPr>
              <w:t>)</w:t>
            </w:r>
          </w:p>
          <w:p w14:paraId="760A7523" w14:textId="77777777" w:rsidR="00E74AD7" w:rsidRPr="003A0B19" w:rsidRDefault="00E74AD7" w:rsidP="00427719">
            <w:pPr>
              <w:pBdr>
                <w:bottom w:val="single" w:sz="12" w:space="1" w:color="auto"/>
              </w:pBdr>
              <w:spacing w:line="276" w:lineRule="auto"/>
              <w:ind w:left="-108" w:right="-187"/>
              <w:jc w:val="center"/>
              <w:rPr>
                <w:rFonts w:cs="Arial"/>
                <w:color w:val="132455"/>
                <w:sz w:val="20"/>
                <w:szCs w:val="20"/>
              </w:rPr>
            </w:pPr>
            <w:r w:rsidRPr="003A0B19">
              <w:rPr>
                <w:rFonts w:cs="Arial"/>
                <w:color w:val="132455"/>
                <w:sz w:val="20"/>
                <w:szCs w:val="20"/>
              </w:rPr>
              <w:t>(ОГРН 1097799010870</w:t>
            </w:r>
            <w:r w:rsidR="00F02C00">
              <w:rPr>
                <w:rFonts w:cs="Arial"/>
                <w:color w:val="132455"/>
                <w:sz w:val="20"/>
                <w:szCs w:val="20"/>
              </w:rPr>
              <w:t>,</w:t>
            </w:r>
            <w:r w:rsidR="002C1619">
              <w:rPr>
                <w:rFonts w:cs="Arial"/>
                <w:color w:val="132455"/>
                <w:sz w:val="20"/>
                <w:szCs w:val="20"/>
                <w:lang w:val="en-US"/>
              </w:rPr>
              <w:t xml:space="preserve"> </w:t>
            </w:r>
            <w:r w:rsidRPr="003A0B19">
              <w:rPr>
                <w:rFonts w:cs="Arial"/>
                <w:color w:val="132455"/>
                <w:sz w:val="20"/>
                <w:szCs w:val="20"/>
              </w:rPr>
              <w:t>ИНН 7729440813</w:t>
            </w:r>
            <w:r w:rsidR="00F02C00">
              <w:rPr>
                <w:rFonts w:cs="Arial"/>
                <w:color w:val="132455"/>
                <w:sz w:val="20"/>
                <w:szCs w:val="20"/>
              </w:rPr>
              <w:t>,</w:t>
            </w:r>
            <w:r w:rsidR="00427719">
              <w:rPr>
                <w:rFonts w:cs="Arial"/>
                <w:color w:val="132455"/>
                <w:sz w:val="20"/>
                <w:szCs w:val="20"/>
              </w:rPr>
              <w:t xml:space="preserve"> </w:t>
            </w:r>
            <w:r w:rsidRPr="003A0B19">
              <w:rPr>
                <w:rFonts w:cs="Arial"/>
                <w:color w:val="132455"/>
                <w:sz w:val="20"/>
                <w:szCs w:val="20"/>
              </w:rPr>
              <w:t>КПП 772901001)</w:t>
            </w:r>
            <w:r w:rsidRPr="00E74AD7">
              <w:t xml:space="preserve"> </w:t>
            </w:r>
          </w:p>
        </w:tc>
        <w:tc>
          <w:tcPr>
            <w:tcW w:w="1079" w:type="dxa"/>
            <w:vMerge w:val="restart"/>
            <w:tcBorders>
              <w:left w:val="nil"/>
            </w:tcBorders>
          </w:tcPr>
          <w:p w14:paraId="0A3CC1A5" w14:textId="77777777" w:rsidR="00E74AD7" w:rsidRDefault="00E74AD7">
            <w:pPr>
              <w:rPr>
                <w:rFonts w:cs="Arial"/>
                <w:color w:val="132455"/>
                <w:sz w:val="20"/>
                <w:szCs w:val="20"/>
                <w:lang w:val="en-US"/>
              </w:rPr>
            </w:pPr>
          </w:p>
          <w:p w14:paraId="57DD8938" w14:textId="77777777" w:rsidR="00E74AD7" w:rsidRDefault="00E74AD7">
            <w:pPr>
              <w:rPr>
                <w:lang w:val="en-US"/>
              </w:rPr>
            </w:pPr>
          </w:p>
          <w:p w14:paraId="68E5FE9C" w14:textId="77777777" w:rsidR="00E74AD7" w:rsidRDefault="00E74AD7">
            <w:pPr>
              <w:rPr>
                <w:lang w:val="en-US"/>
              </w:rPr>
            </w:pPr>
          </w:p>
          <w:p w14:paraId="5A659BA2" w14:textId="77777777" w:rsidR="00E74AD7" w:rsidRDefault="00291A3A">
            <w:pPr>
              <w:rPr>
                <w:rFonts w:cs="Arial"/>
                <w:color w:val="132455"/>
                <w:sz w:val="20"/>
                <w:szCs w:val="20"/>
                <w:lang w:val="en-US"/>
              </w:rPr>
            </w:pPr>
            <w:r>
              <w:rPr>
                <w:noProof/>
              </w:rPr>
              <w:drawing>
                <wp:inline distT="0" distB="0" distL="0" distR="0" wp14:anchorId="3B8615C0" wp14:editId="21FD294A">
                  <wp:extent cx="548640" cy="417195"/>
                  <wp:effectExtent l="0" t="0" r="3810" b="1905"/>
                  <wp:docPr id="2" name="Рисунок 2" descr="IFAC_name_associate_n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AC_name_associate_nof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17195"/>
                          </a:xfrm>
                          <a:prstGeom prst="rect">
                            <a:avLst/>
                          </a:prstGeom>
                          <a:noFill/>
                          <a:ln>
                            <a:noFill/>
                          </a:ln>
                        </pic:spPr>
                      </pic:pic>
                    </a:graphicData>
                  </a:graphic>
                </wp:inline>
              </w:drawing>
            </w:r>
          </w:p>
          <w:p w14:paraId="07108473" w14:textId="77777777" w:rsidR="00E74AD7" w:rsidRPr="003A0B19" w:rsidRDefault="00E74AD7" w:rsidP="00E74AD7">
            <w:pPr>
              <w:spacing w:line="220" w:lineRule="exact"/>
              <w:ind w:right="-187"/>
              <w:jc w:val="center"/>
              <w:rPr>
                <w:rFonts w:cs="Arial"/>
                <w:color w:val="132455"/>
                <w:sz w:val="20"/>
                <w:szCs w:val="20"/>
              </w:rPr>
            </w:pPr>
          </w:p>
        </w:tc>
      </w:tr>
      <w:tr w:rsidR="00E74AD7" w:rsidRPr="00F02C00" w14:paraId="7796AB50" w14:textId="77777777" w:rsidTr="00713C3F">
        <w:trPr>
          <w:trHeight w:val="873"/>
        </w:trPr>
        <w:tc>
          <w:tcPr>
            <w:tcW w:w="2127" w:type="dxa"/>
            <w:vMerge/>
          </w:tcPr>
          <w:p w14:paraId="20717F90" w14:textId="77777777" w:rsidR="00E74AD7" w:rsidRDefault="00E74AD7" w:rsidP="002A393D"/>
        </w:tc>
        <w:tc>
          <w:tcPr>
            <w:tcW w:w="7427" w:type="dxa"/>
          </w:tcPr>
          <w:p w14:paraId="3D377A39" w14:textId="77777777" w:rsidR="00E74AD7" w:rsidRPr="007B00DE" w:rsidRDefault="00E74AD7" w:rsidP="00CE194A">
            <w:pPr>
              <w:spacing w:line="220" w:lineRule="exact"/>
              <w:ind w:left="-108" w:right="-187"/>
              <w:jc w:val="center"/>
              <w:rPr>
                <w:rFonts w:cs="Arial"/>
                <w:color w:val="132455"/>
                <w:sz w:val="20"/>
                <w:szCs w:val="20"/>
              </w:rPr>
            </w:pPr>
            <w:r w:rsidRPr="007B00DE">
              <w:rPr>
                <w:rFonts w:cs="Arial"/>
                <w:color w:val="132455"/>
                <w:sz w:val="20"/>
                <w:szCs w:val="20"/>
              </w:rPr>
              <w:t>119192, г. Москва, Мичуринский проспект, дом 21, корпус 4.</w:t>
            </w:r>
            <w:r w:rsidRPr="007B00DE">
              <w:t xml:space="preserve"> </w:t>
            </w:r>
          </w:p>
          <w:p w14:paraId="1458BE6B" w14:textId="77777777" w:rsidR="00E74AD7" w:rsidRPr="00362EA7" w:rsidRDefault="00E74AD7" w:rsidP="00362EA7">
            <w:pPr>
              <w:spacing w:line="220" w:lineRule="exact"/>
              <w:ind w:left="-108" w:right="-108"/>
              <w:jc w:val="center"/>
              <w:rPr>
                <w:rFonts w:cs="Arial"/>
                <w:sz w:val="20"/>
                <w:szCs w:val="20"/>
              </w:rPr>
            </w:pPr>
            <w:r w:rsidRPr="007B00DE">
              <w:rPr>
                <w:rFonts w:cs="Arial"/>
                <w:color w:val="132455"/>
                <w:sz w:val="20"/>
                <w:szCs w:val="20"/>
              </w:rPr>
              <w:t>т:</w:t>
            </w:r>
            <w:r w:rsidR="00F02C00" w:rsidRPr="007B00DE">
              <w:rPr>
                <w:rFonts w:cs="Arial"/>
                <w:color w:val="132455"/>
                <w:sz w:val="20"/>
                <w:szCs w:val="20"/>
              </w:rPr>
              <w:t xml:space="preserve"> +7 </w:t>
            </w:r>
            <w:r w:rsidRPr="007B00DE">
              <w:rPr>
                <w:rFonts w:cs="Arial"/>
                <w:color w:val="132455"/>
                <w:sz w:val="20"/>
                <w:szCs w:val="20"/>
              </w:rPr>
              <w:t>(495) 734-22-22, ф:</w:t>
            </w:r>
            <w:r w:rsidR="00F02C00" w:rsidRPr="007B00DE">
              <w:rPr>
                <w:rFonts w:cs="Arial"/>
                <w:color w:val="132455"/>
                <w:sz w:val="20"/>
                <w:szCs w:val="20"/>
              </w:rPr>
              <w:t xml:space="preserve"> +7 </w:t>
            </w:r>
            <w:r w:rsidRPr="007B00DE">
              <w:rPr>
                <w:rFonts w:cs="Arial"/>
                <w:color w:val="132455"/>
                <w:sz w:val="20"/>
                <w:szCs w:val="20"/>
              </w:rPr>
              <w:t>(495) 734-04-22</w:t>
            </w:r>
            <w:r w:rsidRPr="0068752F">
              <w:rPr>
                <w:rFonts w:cs="Arial"/>
                <w:color w:val="132455"/>
                <w:sz w:val="20"/>
                <w:szCs w:val="20"/>
              </w:rPr>
              <w:t>,</w:t>
            </w:r>
            <w:r w:rsidR="00F02C00" w:rsidRPr="0068752F">
              <w:rPr>
                <w:rFonts w:cs="Arial"/>
                <w:color w:val="132455"/>
                <w:sz w:val="20"/>
                <w:szCs w:val="20"/>
              </w:rPr>
              <w:t xml:space="preserve"> </w:t>
            </w:r>
            <w:hyperlink r:id="rId9" w:history="1">
              <w:r w:rsidR="00362EA7" w:rsidRPr="0068752F">
                <w:rPr>
                  <w:rStyle w:val="a4"/>
                  <w:rFonts w:cs="Arial"/>
                  <w:sz w:val="20"/>
                  <w:szCs w:val="20"/>
                  <w:lang w:val="en-US"/>
                </w:rPr>
                <w:t>www</w:t>
              </w:r>
              <w:r w:rsidR="00362EA7" w:rsidRPr="0068752F">
                <w:rPr>
                  <w:rStyle w:val="a4"/>
                  <w:rFonts w:cs="Arial"/>
                  <w:sz w:val="20"/>
                  <w:szCs w:val="20"/>
                </w:rPr>
                <w:t>.</w:t>
              </w:r>
              <w:r w:rsidR="00362EA7" w:rsidRPr="0068752F">
                <w:rPr>
                  <w:rStyle w:val="a4"/>
                  <w:rFonts w:cs="Arial"/>
                  <w:sz w:val="20"/>
                  <w:szCs w:val="20"/>
                  <w:lang w:val="en-US"/>
                </w:rPr>
                <w:t>auditor</w:t>
              </w:r>
              <w:r w:rsidR="00362EA7" w:rsidRPr="0068752F">
                <w:rPr>
                  <w:rStyle w:val="a4"/>
                  <w:rFonts w:cs="Arial"/>
                  <w:sz w:val="20"/>
                  <w:szCs w:val="20"/>
                </w:rPr>
                <w:t>-</w:t>
              </w:r>
              <w:r w:rsidR="00362EA7" w:rsidRPr="0068752F">
                <w:rPr>
                  <w:rStyle w:val="a4"/>
                  <w:rFonts w:cs="Arial"/>
                  <w:sz w:val="20"/>
                  <w:szCs w:val="20"/>
                  <w:lang w:val="en-US"/>
                </w:rPr>
                <w:t>sro</w:t>
              </w:r>
              <w:r w:rsidR="00362EA7" w:rsidRPr="0068752F">
                <w:rPr>
                  <w:rStyle w:val="a4"/>
                  <w:rFonts w:cs="Arial"/>
                  <w:sz w:val="20"/>
                  <w:szCs w:val="20"/>
                </w:rPr>
                <w:t>.</w:t>
              </w:r>
              <w:r w:rsidR="00362EA7" w:rsidRPr="0068752F">
                <w:rPr>
                  <w:rStyle w:val="a4"/>
                  <w:rFonts w:cs="Arial"/>
                  <w:sz w:val="20"/>
                  <w:szCs w:val="20"/>
                  <w:lang w:val="en-US"/>
                </w:rPr>
                <w:t>org</w:t>
              </w:r>
            </w:hyperlink>
            <w:r w:rsidRPr="00362EA7">
              <w:rPr>
                <w:rFonts w:cs="Arial"/>
                <w:b/>
                <w:color w:val="0070C0"/>
                <w:sz w:val="20"/>
                <w:szCs w:val="20"/>
              </w:rPr>
              <w:t>,</w:t>
            </w:r>
            <w:r w:rsidRPr="002C1619">
              <w:rPr>
                <w:rFonts w:cs="Arial"/>
                <w:b/>
                <w:color w:val="0070C0"/>
                <w:sz w:val="20"/>
                <w:szCs w:val="20"/>
              </w:rPr>
              <w:t xml:space="preserve"> </w:t>
            </w:r>
            <w:r w:rsidR="00F02C00" w:rsidRPr="00362EA7">
              <w:rPr>
                <w:rFonts w:cs="Arial"/>
                <w:sz w:val="20"/>
                <w:szCs w:val="20"/>
                <w:lang w:val="en-US"/>
              </w:rPr>
              <w:t>inf</w:t>
            </w:r>
            <w:r w:rsidRPr="00362EA7">
              <w:rPr>
                <w:rFonts w:cs="Arial"/>
                <w:sz w:val="20"/>
                <w:szCs w:val="20"/>
                <w:lang w:val="en-US"/>
              </w:rPr>
              <w:t>o</w:t>
            </w:r>
            <w:r w:rsidRPr="00362EA7">
              <w:rPr>
                <w:rFonts w:cs="Arial"/>
                <w:sz w:val="20"/>
                <w:szCs w:val="20"/>
              </w:rPr>
              <w:t>@</w:t>
            </w:r>
            <w:r w:rsidRPr="00362EA7">
              <w:rPr>
                <w:rFonts w:cs="Arial"/>
                <w:sz w:val="20"/>
                <w:szCs w:val="20"/>
                <w:lang w:val="en-US"/>
              </w:rPr>
              <w:t>auditor</w:t>
            </w:r>
            <w:r w:rsidRPr="00362EA7">
              <w:rPr>
                <w:rFonts w:cs="Arial"/>
                <w:sz w:val="20"/>
                <w:szCs w:val="20"/>
              </w:rPr>
              <w:t>-</w:t>
            </w:r>
            <w:r w:rsidRPr="00362EA7">
              <w:rPr>
                <w:rFonts w:cs="Arial"/>
                <w:sz w:val="20"/>
                <w:szCs w:val="20"/>
                <w:lang w:val="en-US"/>
              </w:rPr>
              <w:t>sro</w:t>
            </w:r>
            <w:r w:rsidRPr="00362EA7">
              <w:rPr>
                <w:rFonts w:cs="Arial"/>
                <w:sz w:val="20"/>
                <w:szCs w:val="20"/>
              </w:rPr>
              <w:t>.</w:t>
            </w:r>
            <w:r w:rsidRPr="00362EA7">
              <w:rPr>
                <w:rFonts w:cs="Arial"/>
                <w:sz w:val="20"/>
                <w:szCs w:val="20"/>
                <w:lang w:val="en-US"/>
              </w:rPr>
              <w:t>o</w:t>
            </w:r>
            <w:r w:rsidR="002C1619" w:rsidRPr="00362EA7">
              <w:rPr>
                <w:rFonts w:cs="Arial"/>
                <w:sz w:val="20"/>
                <w:szCs w:val="20"/>
                <w:lang w:val="en-US"/>
              </w:rPr>
              <w:t>r</w:t>
            </w:r>
            <w:r w:rsidRPr="00362EA7">
              <w:rPr>
                <w:rFonts w:cs="Arial"/>
                <w:sz w:val="20"/>
                <w:szCs w:val="20"/>
                <w:lang w:val="en-US"/>
              </w:rPr>
              <w:t>g</w:t>
            </w:r>
            <w:r w:rsidRPr="00362EA7">
              <w:rPr>
                <w:rFonts w:cs="Arial"/>
                <w:sz w:val="20"/>
                <w:szCs w:val="20"/>
              </w:rPr>
              <w:t xml:space="preserve"> </w:t>
            </w:r>
          </w:p>
        </w:tc>
        <w:tc>
          <w:tcPr>
            <w:tcW w:w="1079" w:type="dxa"/>
            <w:vMerge/>
            <w:tcBorders>
              <w:left w:val="nil"/>
            </w:tcBorders>
          </w:tcPr>
          <w:p w14:paraId="2B8DBCF4" w14:textId="77777777" w:rsidR="00E74AD7" w:rsidRPr="00F02C00" w:rsidRDefault="00E74AD7" w:rsidP="00E74AD7">
            <w:pPr>
              <w:spacing w:line="220" w:lineRule="exact"/>
              <w:ind w:right="-187"/>
              <w:jc w:val="center"/>
              <w:rPr>
                <w:rFonts w:cs="Arial"/>
                <w:color w:val="132455"/>
                <w:sz w:val="20"/>
                <w:szCs w:val="20"/>
              </w:rPr>
            </w:pPr>
          </w:p>
        </w:tc>
      </w:tr>
    </w:tbl>
    <w:p w14:paraId="7E8511BA" w14:textId="5219CFCA" w:rsidR="00211641" w:rsidRDefault="00211641" w:rsidP="00211641">
      <w:pPr>
        <w:ind w:firstLine="142"/>
        <w:jc w:val="both"/>
        <w:rPr>
          <w:sz w:val="26"/>
          <w:szCs w:val="26"/>
        </w:rPr>
      </w:pPr>
    </w:p>
    <w:p w14:paraId="43456973" w14:textId="77777777" w:rsidR="00AF3260" w:rsidRDefault="00AF3260" w:rsidP="00211641">
      <w:pPr>
        <w:ind w:firstLine="142"/>
        <w:jc w:val="both"/>
        <w:rPr>
          <w:sz w:val="26"/>
          <w:szCs w:val="26"/>
        </w:rPr>
      </w:pPr>
    </w:p>
    <w:p w14:paraId="5F304360" w14:textId="77777777" w:rsidR="00277AD3" w:rsidRPr="00C413C9" w:rsidRDefault="00277AD3" w:rsidP="00277AD3">
      <w:pPr>
        <w:jc w:val="center"/>
        <w:rPr>
          <w:b/>
          <w:sz w:val="26"/>
          <w:szCs w:val="26"/>
        </w:rPr>
      </w:pPr>
      <w:r w:rsidRPr="00C413C9">
        <w:rPr>
          <w:b/>
          <w:sz w:val="26"/>
          <w:szCs w:val="26"/>
        </w:rPr>
        <w:t>Комитет по правовым вопросам аудиторской деятельности</w:t>
      </w:r>
    </w:p>
    <w:p w14:paraId="59959C08" w14:textId="77777777" w:rsidR="00277AD3" w:rsidRDefault="00277AD3" w:rsidP="00277AD3">
      <w:pPr>
        <w:jc w:val="both"/>
        <w:rPr>
          <w:sz w:val="26"/>
          <w:szCs w:val="26"/>
        </w:rPr>
      </w:pPr>
    </w:p>
    <w:p w14:paraId="5B8FB6CC" w14:textId="77777777" w:rsidR="00277AD3" w:rsidRDefault="00277AD3" w:rsidP="00277AD3">
      <w:pPr>
        <w:jc w:val="center"/>
        <w:rPr>
          <w:sz w:val="28"/>
          <w:szCs w:val="28"/>
        </w:rPr>
      </w:pPr>
      <w:r w:rsidRPr="00C77333">
        <w:rPr>
          <w:sz w:val="28"/>
          <w:szCs w:val="28"/>
        </w:rPr>
        <w:t>Разъяснени</w:t>
      </w:r>
      <w:r>
        <w:rPr>
          <w:sz w:val="28"/>
          <w:szCs w:val="28"/>
        </w:rPr>
        <w:t>е</w:t>
      </w:r>
      <w:r w:rsidRPr="00C77333">
        <w:rPr>
          <w:sz w:val="28"/>
          <w:szCs w:val="28"/>
        </w:rPr>
        <w:t xml:space="preserve"> </w:t>
      </w:r>
      <w:r>
        <w:rPr>
          <w:sz w:val="28"/>
          <w:szCs w:val="28"/>
        </w:rPr>
        <w:t xml:space="preserve">позиции по </w:t>
      </w:r>
      <w:r w:rsidRPr="00C77333">
        <w:rPr>
          <w:sz w:val="28"/>
          <w:szCs w:val="28"/>
        </w:rPr>
        <w:t>правовы</w:t>
      </w:r>
      <w:r>
        <w:rPr>
          <w:sz w:val="28"/>
          <w:szCs w:val="28"/>
        </w:rPr>
        <w:t>м</w:t>
      </w:r>
      <w:r w:rsidRPr="00C77333">
        <w:rPr>
          <w:sz w:val="28"/>
          <w:szCs w:val="28"/>
        </w:rPr>
        <w:t xml:space="preserve"> вопрос</w:t>
      </w:r>
      <w:r>
        <w:rPr>
          <w:sz w:val="28"/>
          <w:szCs w:val="28"/>
        </w:rPr>
        <w:t>ам</w:t>
      </w:r>
      <w:r w:rsidRPr="00C77333">
        <w:rPr>
          <w:sz w:val="28"/>
          <w:szCs w:val="28"/>
        </w:rPr>
        <w:t xml:space="preserve"> аудиторской деятельности</w:t>
      </w:r>
    </w:p>
    <w:p w14:paraId="2C73527D" w14:textId="336BDCAF" w:rsidR="00277AD3" w:rsidRPr="00211641" w:rsidRDefault="00277AD3" w:rsidP="00277AD3">
      <w:pPr>
        <w:jc w:val="center"/>
        <w:rPr>
          <w:sz w:val="26"/>
          <w:szCs w:val="26"/>
        </w:rPr>
      </w:pPr>
      <w:r>
        <w:rPr>
          <w:sz w:val="28"/>
          <w:szCs w:val="28"/>
        </w:rPr>
        <w:t>по</w:t>
      </w:r>
      <w:r w:rsidRPr="00C77333">
        <w:rPr>
          <w:sz w:val="28"/>
          <w:szCs w:val="28"/>
        </w:rPr>
        <w:t xml:space="preserve"> тем</w:t>
      </w:r>
      <w:r>
        <w:rPr>
          <w:sz w:val="28"/>
          <w:szCs w:val="28"/>
        </w:rPr>
        <w:t>е:</w:t>
      </w:r>
    </w:p>
    <w:p w14:paraId="13ED045E" w14:textId="0505CD39" w:rsidR="009F36FA" w:rsidRPr="009F36FA" w:rsidRDefault="009F36FA" w:rsidP="009F36FA">
      <w:pPr>
        <w:jc w:val="center"/>
        <w:rPr>
          <w:b/>
          <w:sz w:val="26"/>
          <w:szCs w:val="26"/>
        </w:rPr>
      </w:pPr>
      <w:r w:rsidRPr="009F36FA">
        <w:rPr>
          <w:b/>
          <w:sz w:val="26"/>
          <w:szCs w:val="26"/>
        </w:rPr>
        <w:t>О порядке и сроках хранения аудиторской организацией аудиторских заключений и аудиторской документации клиента по завершённым заданиям</w:t>
      </w:r>
    </w:p>
    <w:p w14:paraId="42A747D6" w14:textId="7C452E15" w:rsidR="00DA3EB8" w:rsidRDefault="00DA3EB8" w:rsidP="00DA3EB8">
      <w:pPr>
        <w:ind w:firstLine="709"/>
        <w:jc w:val="both"/>
        <w:rPr>
          <w:sz w:val="26"/>
          <w:szCs w:val="26"/>
        </w:rPr>
      </w:pPr>
    </w:p>
    <w:p w14:paraId="0046DAD8" w14:textId="6A08948F" w:rsidR="00B12354" w:rsidRPr="00277AD3" w:rsidRDefault="00B12354" w:rsidP="00277AD3">
      <w:pPr>
        <w:ind w:firstLine="709"/>
        <w:jc w:val="both"/>
        <w:rPr>
          <w:sz w:val="26"/>
          <w:szCs w:val="26"/>
          <w:u w:val="single"/>
        </w:rPr>
      </w:pPr>
      <w:r w:rsidRPr="00277AD3">
        <w:rPr>
          <w:sz w:val="26"/>
          <w:szCs w:val="26"/>
          <w:u w:val="single"/>
        </w:rPr>
        <w:t xml:space="preserve">Позиция </w:t>
      </w:r>
      <w:r w:rsidR="00277AD3" w:rsidRPr="00277AD3">
        <w:rPr>
          <w:sz w:val="26"/>
          <w:szCs w:val="26"/>
          <w:u w:val="single"/>
        </w:rPr>
        <w:t>Комитет по правовым вопросам аудиторской деятельности</w:t>
      </w:r>
      <w:r w:rsidRPr="00277AD3">
        <w:rPr>
          <w:sz w:val="26"/>
          <w:szCs w:val="26"/>
          <w:u w:val="single"/>
        </w:rPr>
        <w:t>:</w:t>
      </w:r>
    </w:p>
    <w:p w14:paraId="08B5AE41" w14:textId="032AAB84" w:rsidR="00C664AE" w:rsidRPr="00C664AE" w:rsidRDefault="00C664AE" w:rsidP="00C664AE">
      <w:pPr>
        <w:ind w:firstLine="709"/>
        <w:jc w:val="both"/>
        <w:rPr>
          <w:sz w:val="26"/>
          <w:szCs w:val="26"/>
        </w:rPr>
      </w:pPr>
      <w:r w:rsidRPr="00C664AE">
        <w:rPr>
          <w:sz w:val="26"/>
          <w:szCs w:val="26"/>
        </w:rPr>
        <w:t xml:space="preserve">Срок хранения </w:t>
      </w:r>
      <w:r>
        <w:rPr>
          <w:sz w:val="26"/>
          <w:szCs w:val="26"/>
        </w:rPr>
        <w:t xml:space="preserve">рабочих документов аудитора и аудиторского заключения </w:t>
      </w:r>
      <w:r w:rsidRPr="00C664AE">
        <w:rPr>
          <w:sz w:val="26"/>
          <w:szCs w:val="26"/>
        </w:rPr>
        <w:t xml:space="preserve">аудиторской организацией </w:t>
      </w:r>
      <w:r>
        <w:rPr>
          <w:sz w:val="26"/>
          <w:szCs w:val="26"/>
        </w:rPr>
        <w:t xml:space="preserve">- </w:t>
      </w:r>
      <w:r w:rsidRPr="00C664AE">
        <w:rPr>
          <w:sz w:val="26"/>
          <w:szCs w:val="26"/>
        </w:rPr>
        <w:t xml:space="preserve">5 лет с даты </w:t>
      </w:r>
      <w:r>
        <w:rPr>
          <w:sz w:val="26"/>
          <w:szCs w:val="26"/>
        </w:rPr>
        <w:t>аудиторского заключения.</w:t>
      </w:r>
    </w:p>
    <w:p w14:paraId="4774F2AD" w14:textId="120073C5" w:rsidR="00C664AE" w:rsidRDefault="00C664AE" w:rsidP="00C664AE">
      <w:pPr>
        <w:ind w:firstLine="709"/>
        <w:jc w:val="both"/>
        <w:rPr>
          <w:sz w:val="26"/>
          <w:szCs w:val="26"/>
        </w:rPr>
      </w:pPr>
      <w:r w:rsidRPr="00C664AE">
        <w:rPr>
          <w:sz w:val="26"/>
          <w:szCs w:val="26"/>
        </w:rPr>
        <w:t xml:space="preserve">Срок хранения </w:t>
      </w:r>
      <w:r>
        <w:rPr>
          <w:sz w:val="26"/>
          <w:szCs w:val="26"/>
        </w:rPr>
        <w:t xml:space="preserve">аудиторского заключения </w:t>
      </w:r>
      <w:proofErr w:type="spellStart"/>
      <w:r w:rsidRPr="00C664AE">
        <w:rPr>
          <w:sz w:val="26"/>
          <w:szCs w:val="26"/>
        </w:rPr>
        <w:t>аудируемым</w:t>
      </w:r>
      <w:proofErr w:type="spellEnd"/>
      <w:r w:rsidRPr="00C664AE">
        <w:rPr>
          <w:sz w:val="26"/>
          <w:szCs w:val="26"/>
        </w:rPr>
        <w:t xml:space="preserve"> лицом установлен правилами организации государственного архивного дела.</w:t>
      </w:r>
    </w:p>
    <w:p w14:paraId="39463466" w14:textId="77777777" w:rsidR="00B12354" w:rsidRDefault="00B12354" w:rsidP="00DA3EB8">
      <w:pPr>
        <w:ind w:firstLine="709"/>
        <w:jc w:val="both"/>
        <w:rPr>
          <w:sz w:val="26"/>
          <w:szCs w:val="26"/>
        </w:rPr>
      </w:pPr>
    </w:p>
    <w:p w14:paraId="5554F76C" w14:textId="47E3147D" w:rsidR="00B12354" w:rsidRPr="00277AD3" w:rsidRDefault="00B12354" w:rsidP="00DA3EB8">
      <w:pPr>
        <w:ind w:firstLine="709"/>
        <w:jc w:val="both"/>
        <w:rPr>
          <w:sz w:val="26"/>
          <w:szCs w:val="26"/>
        </w:rPr>
      </w:pPr>
      <w:r w:rsidRPr="00277AD3">
        <w:rPr>
          <w:sz w:val="26"/>
          <w:szCs w:val="26"/>
          <w:u w:val="single"/>
        </w:rPr>
        <w:t>Правовое обоснование</w:t>
      </w:r>
      <w:r w:rsidRPr="00277AD3">
        <w:rPr>
          <w:sz w:val="26"/>
          <w:szCs w:val="26"/>
        </w:rPr>
        <w:t>:</w:t>
      </w:r>
    </w:p>
    <w:p w14:paraId="07ED072E" w14:textId="1418DD8E" w:rsidR="002115B5" w:rsidRDefault="00071182" w:rsidP="002115B5">
      <w:pPr>
        <w:ind w:firstLine="709"/>
        <w:jc w:val="both"/>
        <w:rPr>
          <w:rStyle w:val="blk"/>
          <w:sz w:val="26"/>
          <w:szCs w:val="26"/>
        </w:rPr>
      </w:pPr>
      <w:r>
        <w:rPr>
          <w:rStyle w:val="blk"/>
          <w:sz w:val="26"/>
          <w:szCs w:val="26"/>
        </w:rPr>
        <w:t xml:space="preserve">В соответствии с п.3 ч.2 ст.13 </w:t>
      </w:r>
      <w:r w:rsidRPr="00C642F1">
        <w:rPr>
          <w:rStyle w:val="blk"/>
          <w:sz w:val="26"/>
          <w:szCs w:val="26"/>
        </w:rPr>
        <w:t>Федерального закона «Об аудиторской деятельности»</w:t>
      </w:r>
      <w:r>
        <w:rPr>
          <w:rStyle w:val="blk"/>
          <w:sz w:val="26"/>
          <w:szCs w:val="26"/>
        </w:rPr>
        <w:t xml:space="preserve"> №307-ФЗ от 30.12.2008 г. п</w:t>
      </w:r>
      <w:r w:rsidR="002115B5" w:rsidRPr="002115B5">
        <w:rPr>
          <w:rStyle w:val="blk"/>
          <w:sz w:val="26"/>
          <w:szCs w:val="26"/>
        </w:rPr>
        <w:t>ри оказании аудиторских услуг аудиторская организация, индивидуальный аудитор обязаны обеспечивать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Федерации</w:t>
      </w:r>
      <w:r>
        <w:rPr>
          <w:rStyle w:val="blk"/>
          <w:sz w:val="26"/>
          <w:szCs w:val="26"/>
        </w:rPr>
        <w:t>.</w:t>
      </w:r>
    </w:p>
    <w:p w14:paraId="240B9719" w14:textId="06D5CF3F" w:rsidR="00FB1477" w:rsidRDefault="002115B5" w:rsidP="00FB1477">
      <w:pPr>
        <w:ind w:firstLine="709"/>
        <w:jc w:val="both"/>
        <w:rPr>
          <w:rStyle w:val="blk"/>
          <w:sz w:val="26"/>
          <w:szCs w:val="26"/>
        </w:rPr>
      </w:pPr>
      <w:r>
        <w:rPr>
          <w:rStyle w:val="blk"/>
          <w:sz w:val="26"/>
          <w:szCs w:val="26"/>
        </w:rPr>
        <w:t>....</w:t>
      </w:r>
    </w:p>
    <w:p w14:paraId="2EEF3605" w14:textId="7CE7F8F3" w:rsidR="00641A04" w:rsidRDefault="00641A04" w:rsidP="00641A04">
      <w:pPr>
        <w:ind w:firstLine="709"/>
        <w:jc w:val="both"/>
        <w:rPr>
          <w:rStyle w:val="blk"/>
          <w:sz w:val="26"/>
          <w:szCs w:val="26"/>
        </w:rPr>
      </w:pPr>
      <w:r w:rsidRPr="00641A04">
        <w:rPr>
          <w:rStyle w:val="blk"/>
          <w:sz w:val="26"/>
          <w:szCs w:val="26"/>
        </w:rPr>
        <w:t>"</w:t>
      </w:r>
      <w:r w:rsidRPr="00641A04">
        <w:rPr>
          <w:rStyle w:val="blk"/>
          <w:b/>
          <w:sz w:val="26"/>
          <w:szCs w:val="26"/>
        </w:rPr>
        <w:t>Международный стандарт контроля качества 1</w:t>
      </w:r>
      <w:r w:rsidRPr="00641A04">
        <w:rPr>
          <w:rStyle w:val="blk"/>
          <w:sz w:val="26"/>
          <w:szCs w:val="26"/>
        </w:rPr>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(введен в действие на территории Российской Федерации Приказом Минфина России от 24.10.2016 </w:t>
      </w:r>
      <w:r>
        <w:rPr>
          <w:rStyle w:val="blk"/>
          <w:sz w:val="26"/>
          <w:szCs w:val="26"/>
        </w:rPr>
        <w:t>№</w:t>
      </w:r>
      <w:r w:rsidRPr="00641A04">
        <w:rPr>
          <w:rStyle w:val="blk"/>
          <w:sz w:val="26"/>
          <w:szCs w:val="26"/>
        </w:rPr>
        <w:t xml:space="preserve"> 192н)</w:t>
      </w:r>
      <w:r>
        <w:rPr>
          <w:rStyle w:val="blk"/>
          <w:sz w:val="26"/>
          <w:szCs w:val="26"/>
        </w:rPr>
        <w:t>:</w:t>
      </w:r>
    </w:p>
    <w:p w14:paraId="5783C71C" w14:textId="76FF0B0B" w:rsidR="00641A04" w:rsidRPr="00641A04" w:rsidRDefault="00641A04" w:rsidP="00641A04">
      <w:pPr>
        <w:ind w:firstLine="709"/>
        <w:jc w:val="both"/>
        <w:rPr>
          <w:rStyle w:val="blk"/>
          <w:sz w:val="26"/>
          <w:szCs w:val="26"/>
        </w:rPr>
      </w:pPr>
      <w:r w:rsidRPr="00641A04">
        <w:rPr>
          <w:rStyle w:val="blk"/>
          <w:sz w:val="26"/>
          <w:szCs w:val="26"/>
        </w:rPr>
        <w:t>Хранение документации по заданию (см. пункт 47)</w:t>
      </w:r>
    </w:p>
    <w:p w14:paraId="74F25705" w14:textId="77777777" w:rsidR="00641A04" w:rsidRPr="00641A04" w:rsidRDefault="00641A04" w:rsidP="00641A04">
      <w:pPr>
        <w:ind w:firstLine="709"/>
        <w:jc w:val="both"/>
        <w:rPr>
          <w:rStyle w:val="blk"/>
          <w:sz w:val="26"/>
          <w:szCs w:val="26"/>
        </w:rPr>
      </w:pPr>
      <w:r w:rsidRPr="00641A04">
        <w:rPr>
          <w:rStyle w:val="blk"/>
          <w:sz w:val="26"/>
          <w:szCs w:val="26"/>
        </w:rPr>
        <w:t xml:space="preserve">A60. Задачи аудиторской организации по хранению документации по заданию и сроки ее хранения варьируются в зависимости от характера заданию и конкретных обстоятельств: например, нужна ли документация по заданию для того, чтобы обеспечить накопление информации по вопросам, которые будут иметь значение для выполнения последующих заданий. Сроки хранения могут также зависеть от прочих факторов, таких как наличие в местном законодательстве или нормативных актах конкретных предписаний по срокам хранения документации по заданиям либо наличие общепринятых </w:t>
      </w:r>
      <w:r w:rsidRPr="00641A04">
        <w:rPr>
          <w:rStyle w:val="blk"/>
          <w:sz w:val="26"/>
          <w:szCs w:val="26"/>
        </w:rPr>
        <w:lastRenderedPageBreak/>
        <w:t>сроков хранения документов в данной юрисдикции, в отсутствие конкретных правовых или нормативных требований.</w:t>
      </w:r>
    </w:p>
    <w:p w14:paraId="100160DE" w14:textId="77777777" w:rsidR="00641A04" w:rsidRPr="00641A04" w:rsidRDefault="00641A04" w:rsidP="00641A04">
      <w:pPr>
        <w:ind w:firstLine="709"/>
        <w:jc w:val="both"/>
        <w:rPr>
          <w:rStyle w:val="blk"/>
          <w:sz w:val="26"/>
          <w:szCs w:val="26"/>
        </w:rPr>
      </w:pPr>
      <w:r w:rsidRPr="00641A04">
        <w:rPr>
          <w:rStyle w:val="blk"/>
          <w:sz w:val="26"/>
          <w:szCs w:val="26"/>
        </w:rPr>
        <w:t>A61. Сроки хранения обычно составляют для документов аудиторских заданий - не менее пяти лет с даты аудиторского заключения или с даты аудиторского заключения о финансовой отчетности группы, если последнее было подписано позднее.</w:t>
      </w:r>
    </w:p>
    <w:p w14:paraId="1FEDD67A" w14:textId="77777777" w:rsidR="00641A04" w:rsidRPr="00641A04" w:rsidRDefault="00641A04" w:rsidP="00641A04">
      <w:pPr>
        <w:ind w:firstLine="709"/>
        <w:jc w:val="both"/>
        <w:rPr>
          <w:rStyle w:val="blk"/>
          <w:sz w:val="26"/>
          <w:szCs w:val="26"/>
        </w:rPr>
      </w:pPr>
      <w:r w:rsidRPr="00641A04">
        <w:rPr>
          <w:rStyle w:val="blk"/>
          <w:sz w:val="26"/>
          <w:szCs w:val="26"/>
        </w:rPr>
        <w:t xml:space="preserve">A62. Процедуры, которые устанавливает аудиторская организация для хранения документации по заданию, включают те, которые позволяют обеспечить выполнение требования пункта 47 в течение всего срока хранения, </w:t>
      </w:r>
      <w:proofErr w:type="gramStart"/>
      <w:r w:rsidRPr="00641A04">
        <w:rPr>
          <w:rStyle w:val="blk"/>
          <w:sz w:val="26"/>
          <w:szCs w:val="26"/>
        </w:rPr>
        <w:t>например</w:t>
      </w:r>
      <w:proofErr w:type="gramEnd"/>
      <w:r w:rsidRPr="00641A04">
        <w:rPr>
          <w:rStyle w:val="blk"/>
          <w:sz w:val="26"/>
          <w:szCs w:val="26"/>
        </w:rPr>
        <w:t>:</w:t>
      </w:r>
    </w:p>
    <w:p w14:paraId="0249D825" w14:textId="77777777" w:rsidR="00641A04" w:rsidRPr="00641A04" w:rsidRDefault="00641A04" w:rsidP="00641A04">
      <w:pPr>
        <w:ind w:firstLine="709"/>
        <w:jc w:val="both"/>
        <w:rPr>
          <w:rStyle w:val="blk"/>
          <w:sz w:val="26"/>
          <w:szCs w:val="26"/>
        </w:rPr>
      </w:pPr>
      <w:r w:rsidRPr="00641A04">
        <w:rPr>
          <w:rStyle w:val="blk"/>
          <w:sz w:val="26"/>
          <w:szCs w:val="26"/>
        </w:rPr>
        <w:t>- обеспечить возможность поиска документации по заданию и доступа к ним в течение всего периода хранения, особенно в случае электронной документации, поскольку применяемые информационные технологии с течением времени может модернизироваться или заменяться новой;</w:t>
      </w:r>
    </w:p>
    <w:p w14:paraId="65F5C467" w14:textId="77777777" w:rsidR="00641A04" w:rsidRPr="00641A04" w:rsidRDefault="00641A04" w:rsidP="00641A04">
      <w:pPr>
        <w:ind w:firstLine="709"/>
        <w:jc w:val="both"/>
        <w:rPr>
          <w:rStyle w:val="blk"/>
          <w:sz w:val="26"/>
          <w:szCs w:val="26"/>
        </w:rPr>
      </w:pPr>
      <w:r w:rsidRPr="00641A04">
        <w:rPr>
          <w:rStyle w:val="blk"/>
          <w:sz w:val="26"/>
          <w:szCs w:val="26"/>
        </w:rPr>
        <w:t>- обеспечить в необходимых случаях запись изменений, внесенных в документацию по заданию после завершения формирования соответствующих файлов;</w:t>
      </w:r>
    </w:p>
    <w:p w14:paraId="2E5C718C" w14:textId="207C8FC5" w:rsidR="00641A04" w:rsidRDefault="00641A04" w:rsidP="00641A04">
      <w:pPr>
        <w:ind w:firstLine="709"/>
        <w:jc w:val="both"/>
        <w:rPr>
          <w:rStyle w:val="blk"/>
          <w:sz w:val="26"/>
          <w:szCs w:val="26"/>
        </w:rPr>
      </w:pPr>
      <w:r w:rsidRPr="00641A04">
        <w:rPr>
          <w:rStyle w:val="blk"/>
          <w:sz w:val="26"/>
          <w:szCs w:val="26"/>
        </w:rPr>
        <w:t>- обеспечить возможность доступа и ознакомления с документами для уполномоченных сторонних лиц для целей контроля качества или для иных целей.</w:t>
      </w:r>
    </w:p>
    <w:p w14:paraId="65A435B5" w14:textId="67AD42FC" w:rsidR="00641A04" w:rsidRDefault="00641A04" w:rsidP="00641A04">
      <w:pPr>
        <w:ind w:firstLine="709"/>
        <w:jc w:val="both"/>
        <w:rPr>
          <w:rStyle w:val="blk"/>
          <w:sz w:val="26"/>
          <w:szCs w:val="26"/>
        </w:rPr>
      </w:pPr>
      <w:r>
        <w:rPr>
          <w:rStyle w:val="blk"/>
          <w:sz w:val="26"/>
          <w:szCs w:val="26"/>
        </w:rPr>
        <w:t>....</w:t>
      </w:r>
    </w:p>
    <w:p w14:paraId="6BB072B8" w14:textId="16BFC30F" w:rsidR="00FB1477" w:rsidRDefault="00FB1477" w:rsidP="00FB1477">
      <w:pPr>
        <w:ind w:firstLine="709"/>
        <w:jc w:val="both"/>
        <w:rPr>
          <w:rStyle w:val="blk"/>
          <w:sz w:val="26"/>
          <w:szCs w:val="26"/>
        </w:rPr>
      </w:pPr>
      <w:r w:rsidRPr="00FB1477">
        <w:rPr>
          <w:rStyle w:val="blk"/>
          <w:sz w:val="26"/>
          <w:szCs w:val="26"/>
        </w:rPr>
        <w:t>"</w:t>
      </w:r>
      <w:r w:rsidRPr="002115B5">
        <w:rPr>
          <w:rStyle w:val="blk"/>
          <w:b/>
          <w:sz w:val="26"/>
          <w:szCs w:val="26"/>
        </w:rPr>
        <w:t>Международный стандарт аудита 230 "Аудиторская документация"</w:t>
      </w:r>
      <w:r w:rsidRPr="00FB1477">
        <w:rPr>
          <w:rStyle w:val="blk"/>
          <w:sz w:val="26"/>
          <w:szCs w:val="26"/>
        </w:rPr>
        <w:t xml:space="preserve"> (введен в действие на территории Российской Федерации Приказом Минфина России от 09.11.2016 N 207н)</w:t>
      </w:r>
      <w:r>
        <w:rPr>
          <w:rStyle w:val="blk"/>
          <w:sz w:val="26"/>
          <w:szCs w:val="26"/>
        </w:rPr>
        <w:t>:</w:t>
      </w:r>
    </w:p>
    <w:p w14:paraId="59D576A7" w14:textId="534B8B92" w:rsidR="00FB1477" w:rsidRDefault="00FB1477" w:rsidP="00593A1E">
      <w:pPr>
        <w:ind w:firstLine="709"/>
        <w:jc w:val="both"/>
        <w:rPr>
          <w:rStyle w:val="blk"/>
          <w:sz w:val="26"/>
          <w:szCs w:val="26"/>
        </w:rPr>
      </w:pPr>
      <w:r w:rsidRPr="00FB1477">
        <w:rPr>
          <w:rStyle w:val="blk"/>
          <w:sz w:val="26"/>
          <w:szCs w:val="26"/>
        </w:rPr>
        <w:t>A23. Стандарт МСКК 1 (или не менее строгие требования национального законодательства) требует от аудиторских организаций устанавливать политику и процедуры хранения документации по заданию &lt;1&gt;. Срок хранения документации по аудиторским заданиям обычно составляет не менее пяти лет с даты аудиторского заключения о финансовой отчетности организации или с даты аудиторского заключения о финансовой отчетности группы, если оно оформлялось позже &lt;2&gt;.</w:t>
      </w:r>
    </w:p>
    <w:p w14:paraId="44C2D167" w14:textId="77777777" w:rsidR="00FB1477" w:rsidRDefault="00FB1477" w:rsidP="00593A1E">
      <w:pPr>
        <w:ind w:firstLine="709"/>
        <w:jc w:val="both"/>
        <w:rPr>
          <w:rStyle w:val="blk"/>
          <w:sz w:val="26"/>
          <w:szCs w:val="26"/>
        </w:rPr>
      </w:pPr>
    </w:p>
    <w:p w14:paraId="38C53FB6" w14:textId="2F1DADC2" w:rsidR="00080440" w:rsidRDefault="002621A1" w:rsidP="002621A1">
      <w:pPr>
        <w:ind w:firstLine="709"/>
        <w:jc w:val="both"/>
        <w:rPr>
          <w:rStyle w:val="blk"/>
          <w:sz w:val="26"/>
          <w:szCs w:val="26"/>
        </w:rPr>
      </w:pPr>
      <w:r>
        <w:rPr>
          <w:rStyle w:val="blk"/>
          <w:sz w:val="26"/>
          <w:szCs w:val="26"/>
        </w:rPr>
        <w:t xml:space="preserve">В соответствии с ч.1 ст.29 </w:t>
      </w:r>
      <w:r w:rsidRPr="00335C6E">
        <w:rPr>
          <w:rStyle w:val="blk"/>
          <w:b/>
          <w:sz w:val="26"/>
          <w:szCs w:val="26"/>
        </w:rPr>
        <w:t>Федерального закона «О бухгалтерском учете»</w:t>
      </w:r>
      <w:r>
        <w:rPr>
          <w:rStyle w:val="blk"/>
          <w:sz w:val="26"/>
          <w:szCs w:val="26"/>
        </w:rPr>
        <w:t xml:space="preserve"> от </w:t>
      </w:r>
      <w:r w:rsidRPr="002621A1">
        <w:rPr>
          <w:rStyle w:val="blk"/>
          <w:sz w:val="26"/>
          <w:szCs w:val="26"/>
        </w:rPr>
        <w:t xml:space="preserve">6 декабря 2011 года </w:t>
      </w:r>
      <w:r>
        <w:rPr>
          <w:rStyle w:val="blk"/>
          <w:sz w:val="26"/>
          <w:szCs w:val="26"/>
        </w:rPr>
        <w:t>№</w:t>
      </w:r>
      <w:r w:rsidRPr="002621A1">
        <w:rPr>
          <w:rStyle w:val="blk"/>
          <w:sz w:val="26"/>
          <w:szCs w:val="26"/>
        </w:rPr>
        <w:t> 402-ФЗ</w:t>
      </w:r>
      <w:r>
        <w:rPr>
          <w:rStyle w:val="blk"/>
          <w:sz w:val="26"/>
          <w:szCs w:val="26"/>
        </w:rPr>
        <w:t xml:space="preserve"> (в ред. изм. </w:t>
      </w:r>
      <w:r w:rsidRPr="002621A1">
        <w:rPr>
          <w:rStyle w:val="blk"/>
          <w:sz w:val="26"/>
          <w:szCs w:val="26"/>
        </w:rPr>
        <w:t>от 18.07.2017 N 160-ФЗ)</w:t>
      </w:r>
      <w:r>
        <w:rPr>
          <w:rStyle w:val="blk"/>
          <w:sz w:val="26"/>
          <w:szCs w:val="26"/>
        </w:rPr>
        <w:t xml:space="preserve"> п</w:t>
      </w:r>
      <w:r w:rsidR="00080440" w:rsidRPr="00080440">
        <w:rPr>
          <w:rStyle w:val="blk"/>
          <w:sz w:val="26"/>
          <w:szCs w:val="26"/>
        </w:rPr>
        <w:t xml:space="preserve">ервичные учетные документы, регистры </w:t>
      </w:r>
      <w:r w:rsidR="00080440" w:rsidRPr="00A47D12">
        <w:rPr>
          <w:rStyle w:val="blk"/>
          <w:sz w:val="26"/>
          <w:szCs w:val="26"/>
        </w:rPr>
        <w:t xml:space="preserve">бухгалтерского учета, бухгалтерская (финансовая) отчетность, </w:t>
      </w:r>
      <w:r w:rsidR="00080440" w:rsidRPr="00A47D12">
        <w:rPr>
          <w:rStyle w:val="blk"/>
          <w:sz w:val="26"/>
          <w:szCs w:val="26"/>
          <w:u w:val="single"/>
        </w:rPr>
        <w:t>аудиторские заключения</w:t>
      </w:r>
      <w:r w:rsidR="00080440" w:rsidRPr="00A47D12">
        <w:rPr>
          <w:rStyle w:val="blk"/>
          <w:sz w:val="26"/>
          <w:szCs w:val="26"/>
        </w:rPr>
        <w:t xml:space="preserve"> о ней подлежат хранению </w:t>
      </w:r>
      <w:r w:rsidR="00080440" w:rsidRPr="00A47D12">
        <w:rPr>
          <w:rStyle w:val="blk"/>
          <w:sz w:val="26"/>
          <w:szCs w:val="26"/>
          <w:u w:val="single"/>
        </w:rPr>
        <w:t>экономическим субъектом</w:t>
      </w:r>
      <w:r w:rsidR="00080440" w:rsidRPr="00080440">
        <w:rPr>
          <w:rStyle w:val="blk"/>
          <w:sz w:val="26"/>
          <w:szCs w:val="26"/>
        </w:rPr>
        <w:t xml:space="preserve">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14:paraId="1E56807A" w14:textId="12865AB3" w:rsidR="00593A1E" w:rsidRPr="006203F8" w:rsidRDefault="00593A1E" w:rsidP="00593A1E">
      <w:pPr>
        <w:ind w:firstLine="709"/>
        <w:jc w:val="both"/>
        <w:rPr>
          <w:rStyle w:val="blk"/>
          <w:sz w:val="26"/>
          <w:szCs w:val="26"/>
        </w:rPr>
      </w:pPr>
      <w:r w:rsidRPr="006203F8">
        <w:rPr>
          <w:rStyle w:val="blk"/>
          <w:sz w:val="26"/>
          <w:szCs w:val="26"/>
        </w:rPr>
        <w:t xml:space="preserve">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w:t>
      </w:r>
      <w:r w:rsidRPr="00335C6E">
        <w:rPr>
          <w:rStyle w:val="blk"/>
          <w:b/>
          <w:sz w:val="26"/>
          <w:szCs w:val="26"/>
        </w:rPr>
        <w:t>Приказом Министерства культуры РФ от 25 августа 2010 г. N 558</w:t>
      </w:r>
      <w:r w:rsidR="006203F8" w:rsidRPr="006203F8">
        <w:t xml:space="preserve"> (</w:t>
      </w:r>
      <w:r w:rsidR="006203F8" w:rsidRPr="006203F8">
        <w:rPr>
          <w:rStyle w:val="blk"/>
          <w:sz w:val="26"/>
          <w:szCs w:val="26"/>
        </w:rPr>
        <w:t>в ред. Приказа Минкультуры России от 16.02.2016 N 403)</w:t>
      </w:r>
      <w:r w:rsidRPr="006203F8">
        <w:rPr>
          <w:rStyle w:val="blk"/>
          <w:sz w:val="26"/>
          <w:szCs w:val="26"/>
        </w:rPr>
        <w:t>, предусмотрены следующие сроки хранения документации:</w:t>
      </w:r>
    </w:p>
    <w:p w14:paraId="778B8682" w14:textId="77777777" w:rsidR="00593A1E" w:rsidRPr="00593A1E" w:rsidRDefault="00593A1E" w:rsidP="00593A1E">
      <w:pPr>
        <w:ind w:firstLine="709"/>
        <w:jc w:val="both"/>
        <w:rPr>
          <w:rStyle w:val="blk"/>
          <w:color w:val="FF0000"/>
          <w:sz w:val="26"/>
          <w:szCs w:val="26"/>
        </w:rPr>
      </w:pPr>
    </w:p>
    <w:p w14:paraId="0876EB03" w14:textId="77777777" w:rsidR="00E148A5" w:rsidRPr="00E148A5" w:rsidRDefault="00E148A5" w:rsidP="00E148A5">
      <w:pPr>
        <w:ind w:firstLine="709"/>
        <w:jc w:val="center"/>
        <w:rPr>
          <w:rStyle w:val="blk"/>
          <w:b/>
          <w:sz w:val="26"/>
          <w:szCs w:val="26"/>
        </w:rPr>
      </w:pPr>
      <w:r w:rsidRPr="00E148A5">
        <w:rPr>
          <w:rStyle w:val="blk"/>
          <w:b/>
          <w:sz w:val="26"/>
          <w:szCs w:val="26"/>
        </w:rPr>
        <w:t>4. УЧЕТ И ОТЧЕТНОСТЬ</w:t>
      </w:r>
    </w:p>
    <w:p w14:paraId="063176CC" w14:textId="55227E5F" w:rsidR="00E148A5" w:rsidRPr="00E148A5" w:rsidRDefault="00E148A5" w:rsidP="00E148A5">
      <w:pPr>
        <w:ind w:firstLine="709"/>
        <w:jc w:val="center"/>
        <w:rPr>
          <w:rStyle w:val="blk"/>
          <w:b/>
          <w:sz w:val="26"/>
          <w:szCs w:val="26"/>
        </w:rPr>
      </w:pPr>
      <w:r w:rsidRPr="00E148A5">
        <w:rPr>
          <w:rStyle w:val="blk"/>
          <w:b/>
          <w:sz w:val="26"/>
          <w:szCs w:val="26"/>
        </w:rPr>
        <w:t>4.1. Бухгалтерский учет и отчетность</w:t>
      </w:r>
    </w:p>
    <w:p w14:paraId="32A73319" w14:textId="77777777" w:rsidR="00E148A5" w:rsidRDefault="00E148A5" w:rsidP="00593A1E">
      <w:pPr>
        <w:ind w:firstLine="709"/>
        <w:jc w:val="both"/>
        <w:rPr>
          <w:rStyle w:val="blk"/>
          <w:color w:val="FF0000"/>
          <w:sz w:val="26"/>
          <w:szCs w:val="26"/>
        </w:rPr>
      </w:pPr>
    </w:p>
    <w:p w14:paraId="53600865" w14:textId="77777777" w:rsidR="00E148A5" w:rsidRDefault="00E148A5" w:rsidP="00593A1E">
      <w:pPr>
        <w:ind w:firstLine="709"/>
        <w:jc w:val="both"/>
        <w:rPr>
          <w:rStyle w:val="blk"/>
          <w:color w:val="FF0000"/>
          <w:sz w:val="26"/>
          <w:szCs w:val="26"/>
        </w:rPr>
      </w:pPr>
    </w:p>
    <w:tbl>
      <w:tblPr>
        <w:tblpPr w:leftFromText="180" w:rightFromText="180" w:vertAnchor="text" w:tblpY="1"/>
        <w:tblOverlap w:val="never"/>
        <w:tblW w:w="9918" w:type="dxa"/>
        <w:tblLayout w:type="fixed"/>
        <w:tblCellMar>
          <w:top w:w="102" w:type="dxa"/>
          <w:left w:w="62" w:type="dxa"/>
          <w:bottom w:w="102" w:type="dxa"/>
          <w:right w:w="62" w:type="dxa"/>
        </w:tblCellMar>
        <w:tblLook w:val="0000" w:firstRow="0" w:lastRow="0" w:firstColumn="0" w:lastColumn="0" w:noHBand="0" w:noVBand="0"/>
      </w:tblPr>
      <w:tblGrid>
        <w:gridCol w:w="990"/>
        <w:gridCol w:w="4817"/>
        <w:gridCol w:w="1843"/>
        <w:gridCol w:w="2268"/>
      </w:tblGrid>
      <w:tr w:rsidR="00E148A5" w14:paraId="51FC81CB" w14:textId="77777777" w:rsidTr="005B527B">
        <w:tc>
          <w:tcPr>
            <w:tcW w:w="990" w:type="dxa"/>
            <w:tcBorders>
              <w:top w:val="single" w:sz="4" w:space="0" w:color="auto"/>
              <w:left w:val="single" w:sz="4" w:space="0" w:color="auto"/>
              <w:right w:val="single" w:sz="4" w:space="0" w:color="auto"/>
            </w:tcBorders>
            <w:shd w:val="clear" w:color="auto" w:fill="D9D9D9" w:themeFill="background1" w:themeFillShade="D9"/>
          </w:tcPr>
          <w:p w14:paraId="29E63FFF" w14:textId="77777777" w:rsidR="00E148A5" w:rsidRPr="00E148A5" w:rsidRDefault="00E148A5" w:rsidP="00080440">
            <w:pPr>
              <w:adjustRightInd w:val="0"/>
              <w:jc w:val="center"/>
              <w:rPr>
                <w:b/>
                <w:sz w:val="22"/>
                <w:szCs w:val="22"/>
              </w:rPr>
            </w:pPr>
            <w:r w:rsidRPr="00E148A5">
              <w:rPr>
                <w:b/>
                <w:sz w:val="22"/>
                <w:szCs w:val="22"/>
              </w:rPr>
              <w:t>Номер статьи</w:t>
            </w:r>
          </w:p>
        </w:tc>
        <w:tc>
          <w:tcPr>
            <w:tcW w:w="4817" w:type="dxa"/>
            <w:tcBorders>
              <w:top w:val="single" w:sz="4" w:space="0" w:color="auto"/>
              <w:left w:val="single" w:sz="4" w:space="0" w:color="auto"/>
              <w:right w:val="single" w:sz="4" w:space="0" w:color="auto"/>
            </w:tcBorders>
            <w:shd w:val="clear" w:color="auto" w:fill="D9D9D9" w:themeFill="background1" w:themeFillShade="D9"/>
          </w:tcPr>
          <w:p w14:paraId="0131E52B" w14:textId="77777777" w:rsidR="00E148A5" w:rsidRPr="00E148A5" w:rsidRDefault="00E148A5" w:rsidP="00080440">
            <w:pPr>
              <w:adjustRightInd w:val="0"/>
              <w:jc w:val="center"/>
              <w:rPr>
                <w:b/>
                <w:sz w:val="22"/>
                <w:szCs w:val="22"/>
              </w:rPr>
            </w:pPr>
            <w:r w:rsidRPr="00E148A5">
              <w:rPr>
                <w:b/>
                <w:sz w:val="22"/>
                <w:szCs w:val="22"/>
              </w:rPr>
              <w:t>Вид документа</w:t>
            </w:r>
          </w:p>
        </w:tc>
        <w:tc>
          <w:tcPr>
            <w:tcW w:w="1843" w:type="dxa"/>
            <w:tcBorders>
              <w:top w:val="single" w:sz="4" w:space="0" w:color="auto"/>
              <w:left w:val="single" w:sz="4" w:space="0" w:color="auto"/>
              <w:right w:val="single" w:sz="4" w:space="0" w:color="auto"/>
            </w:tcBorders>
            <w:shd w:val="clear" w:color="auto" w:fill="D9D9D9" w:themeFill="background1" w:themeFillShade="D9"/>
          </w:tcPr>
          <w:p w14:paraId="723159B1" w14:textId="77777777" w:rsidR="00E148A5" w:rsidRPr="00E148A5" w:rsidRDefault="00E148A5" w:rsidP="00080440">
            <w:pPr>
              <w:adjustRightInd w:val="0"/>
              <w:jc w:val="center"/>
              <w:outlineLvl w:val="0"/>
              <w:rPr>
                <w:b/>
                <w:sz w:val="22"/>
                <w:szCs w:val="22"/>
              </w:rPr>
            </w:pPr>
            <w:r w:rsidRPr="00E148A5">
              <w:rPr>
                <w:b/>
                <w:sz w:val="22"/>
                <w:szCs w:val="22"/>
              </w:rPr>
              <w:t xml:space="preserve">Срок хранения документа </w:t>
            </w:r>
            <w:hyperlink w:anchor="P5648" w:history="1">
              <w:r w:rsidRPr="00E148A5">
                <w:rPr>
                  <w:rStyle w:val="a4"/>
                  <w:b/>
                  <w:sz w:val="22"/>
                  <w:szCs w:val="22"/>
                </w:rPr>
                <w:t>&lt;*&gt;</w:t>
              </w:r>
            </w:hyperlink>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6A4AC88C" w14:textId="77777777" w:rsidR="00E148A5" w:rsidRPr="00E148A5" w:rsidRDefault="00E148A5" w:rsidP="00080440">
            <w:pPr>
              <w:adjustRightInd w:val="0"/>
              <w:jc w:val="center"/>
              <w:rPr>
                <w:b/>
                <w:sz w:val="22"/>
                <w:szCs w:val="22"/>
              </w:rPr>
            </w:pPr>
            <w:r w:rsidRPr="00E148A5">
              <w:rPr>
                <w:b/>
                <w:sz w:val="22"/>
                <w:szCs w:val="22"/>
              </w:rPr>
              <w:t>Примечания</w:t>
            </w:r>
          </w:p>
        </w:tc>
      </w:tr>
      <w:tr w:rsidR="00E148A5" w:rsidRPr="00E148A5" w14:paraId="1F82A05C" w14:textId="77777777" w:rsidTr="005B527B">
        <w:tc>
          <w:tcPr>
            <w:tcW w:w="990" w:type="dxa"/>
            <w:tcBorders>
              <w:top w:val="single" w:sz="4" w:space="0" w:color="auto"/>
              <w:left w:val="single" w:sz="4" w:space="0" w:color="auto"/>
              <w:right w:val="single" w:sz="4" w:space="0" w:color="auto"/>
            </w:tcBorders>
            <w:shd w:val="clear" w:color="auto" w:fill="F2F2F2" w:themeFill="background1" w:themeFillShade="F2"/>
          </w:tcPr>
          <w:p w14:paraId="5F0C27E7" w14:textId="77777777" w:rsidR="00E148A5" w:rsidRPr="00E148A5" w:rsidRDefault="00E148A5" w:rsidP="00080440">
            <w:pPr>
              <w:adjustRightInd w:val="0"/>
              <w:jc w:val="center"/>
              <w:rPr>
                <w:b/>
                <w:sz w:val="22"/>
                <w:szCs w:val="22"/>
              </w:rPr>
            </w:pPr>
            <w:r w:rsidRPr="00E148A5">
              <w:rPr>
                <w:b/>
                <w:sz w:val="22"/>
                <w:szCs w:val="22"/>
              </w:rPr>
              <w:t>1</w:t>
            </w:r>
          </w:p>
        </w:tc>
        <w:tc>
          <w:tcPr>
            <w:tcW w:w="4817" w:type="dxa"/>
            <w:tcBorders>
              <w:top w:val="single" w:sz="4" w:space="0" w:color="auto"/>
              <w:left w:val="single" w:sz="4" w:space="0" w:color="auto"/>
              <w:right w:val="single" w:sz="4" w:space="0" w:color="auto"/>
            </w:tcBorders>
            <w:shd w:val="clear" w:color="auto" w:fill="F2F2F2" w:themeFill="background1" w:themeFillShade="F2"/>
          </w:tcPr>
          <w:p w14:paraId="7063BCFB" w14:textId="77777777" w:rsidR="00E148A5" w:rsidRPr="00E148A5" w:rsidRDefault="00E148A5" w:rsidP="00080440">
            <w:pPr>
              <w:adjustRightInd w:val="0"/>
              <w:jc w:val="center"/>
              <w:rPr>
                <w:b/>
                <w:sz w:val="22"/>
                <w:szCs w:val="22"/>
              </w:rPr>
            </w:pPr>
            <w:r w:rsidRPr="00E148A5">
              <w:rPr>
                <w:b/>
                <w:sz w:val="22"/>
                <w:szCs w:val="22"/>
              </w:rPr>
              <w:t>2</w:t>
            </w:r>
          </w:p>
        </w:tc>
        <w:tc>
          <w:tcPr>
            <w:tcW w:w="1843" w:type="dxa"/>
            <w:tcBorders>
              <w:top w:val="single" w:sz="4" w:space="0" w:color="auto"/>
              <w:left w:val="single" w:sz="4" w:space="0" w:color="auto"/>
              <w:right w:val="single" w:sz="4" w:space="0" w:color="auto"/>
            </w:tcBorders>
            <w:shd w:val="clear" w:color="auto" w:fill="F2F2F2" w:themeFill="background1" w:themeFillShade="F2"/>
          </w:tcPr>
          <w:p w14:paraId="3D55D0E3" w14:textId="77777777" w:rsidR="00E148A5" w:rsidRPr="00E148A5" w:rsidRDefault="00E148A5" w:rsidP="00080440">
            <w:pPr>
              <w:adjustRightInd w:val="0"/>
              <w:jc w:val="center"/>
              <w:outlineLvl w:val="0"/>
              <w:rPr>
                <w:b/>
                <w:sz w:val="22"/>
                <w:szCs w:val="22"/>
              </w:rPr>
            </w:pPr>
            <w:r w:rsidRPr="00E148A5">
              <w:rPr>
                <w:b/>
                <w:sz w:val="22"/>
                <w:szCs w:val="22"/>
              </w:rPr>
              <w:t>3</w:t>
            </w:r>
          </w:p>
        </w:tc>
        <w:tc>
          <w:tcPr>
            <w:tcW w:w="2268" w:type="dxa"/>
            <w:tcBorders>
              <w:top w:val="single" w:sz="4" w:space="0" w:color="auto"/>
              <w:left w:val="single" w:sz="4" w:space="0" w:color="auto"/>
              <w:right w:val="single" w:sz="4" w:space="0" w:color="auto"/>
            </w:tcBorders>
            <w:shd w:val="clear" w:color="auto" w:fill="F2F2F2" w:themeFill="background1" w:themeFillShade="F2"/>
          </w:tcPr>
          <w:p w14:paraId="203B56EE" w14:textId="77777777" w:rsidR="00E148A5" w:rsidRPr="00E148A5" w:rsidRDefault="00E148A5" w:rsidP="00080440">
            <w:pPr>
              <w:adjustRightInd w:val="0"/>
              <w:jc w:val="center"/>
              <w:rPr>
                <w:b/>
                <w:sz w:val="22"/>
                <w:szCs w:val="22"/>
              </w:rPr>
            </w:pPr>
            <w:r w:rsidRPr="00E148A5">
              <w:rPr>
                <w:b/>
                <w:sz w:val="22"/>
                <w:szCs w:val="22"/>
              </w:rPr>
              <w:t>4</w:t>
            </w:r>
          </w:p>
        </w:tc>
      </w:tr>
      <w:tr w:rsidR="00080440" w:rsidRPr="00080440" w14:paraId="103AF736" w14:textId="77777777" w:rsidTr="005B527B">
        <w:tc>
          <w:tcPr>
            <w:tcW w:w="990" w:type="dxa"/>
            <w:tcBorders>
              <w:bottom w:val="nil"/>
            </w:tcBorders>
            <w:shd w:val="clear" w:color="auto" w:fill="auto"/>
          </w:tcPr>
          <w:p w14:paraId="1DE63A36" w14:textId="19072FE6" w:rsidR="00080440" w:rsidRPr="00080440" w:rsidRDefault="00080440" w:rsidP="006D082F">
            <w:pPr>
              <w:adjustRightInd w:val="0"/>
              <w:jc w:val="center"/>
              <w:rPr>
                <w:b/>
                <w:sz w:val="22"/>
                <w:szCs w:val="22"/>
              </w:rPr>
            </w:pPr>
            <w:r w:rsidRPr="00080440">
              <w:rPr>
                <w:sz w:val="22"/>
                <w:szCs w:val="22"/>
              </w:rPr>
              <w:lastRenderedPageBreak/>
              <w:t>351</w:t>
            </w:r>
          </w:p>
        </w:tc>
        <w:tc>
          <w:tcPr>
            <w:tcW w:w="4817" w:type="dxa"/>
            <w:tcBorders>
              <w:bottom w:val="nil"/>
            </w:tcBorders>
            <w:shd w:val="clear" w:color="auto" w:fill="auto"/>
          </w:tcPr>
          <w:p w14:paraId="2453E0D7" w14:textId="43C549F2" w:rsidR="00080440" w:rsidRPr="00080440" w:rsidRDefault="00080440" w:rsidP="00080440">
            <w:pPr>
              <w:adjustRightInd w:val="0"/>
              <w:rPr>
                <w:b/>
                <w:sz w:val="22"/>
                <w:szCs w:val="22"/>
              </w:rPr>
            </w:pPr>
            <w:r w:rsidRPr="006D082F">
              <w:rPr>
                <w:b/>
                <w:sz w:val="22"/>
                <w:szCs w:val="22"/>
              </w:rPr>
              <w:t>Бухгалтерская (финансовая) отчетность</w:t>
            </w:r>
            <w:r w:rsidRPr="00080440">
              <w:rPr>
                <w:sz w:val="22"/>
                <w:szCs w:val="22"/>
              </w:rPr>
              <w:t xml:space="preserve"> (бухгалтерские балансы, отчеты о прибылях и убытках, отчеты о целевом использовании средств, приложения к ним и др.):</w:t>
            </w:r>
          </w:p>
        </w:tc>
        <w:tc>
          <w:tcPr>
            <w:tcW w:w="1843" w:type="dxa"/>
            <w:tcBorders>
              <w:bottom w:val="nil"/>
            </w:tcBorders>
            <w:shd w:val="clear" w:color="auto" w:fill="auto"/>
          </w:tcPr>
          <w:p w14:paraId="40E56CED" w14:textId="77777777" w:rsidR="00080440" w:rsidRPr="00080440" w:rsidRDefault="00080440" w:rsidP="00080440">
            <w:pPr>
              <w:adjustRightInd w:val="0"/>
              <w:outlineLvl w:val="0"/>
              <w:rPr>
                <w:b/>
                <w:sz w:val="22"/>
                <w:szCs w:val="22"/>
              </w:rPr>
            </w:pPr>
          </w:p>
        </w:tc>
        <w:tc>
          <w:tcPr>
            <w:tcW w:w="2268" w:type="dxa"/>
            <w:tcBorders>
              <w:bottom w:val="nil"/>
            </w:tcBorders>
            <w:shd w:val="clear" w:color="auto" w:fill="auto"/>
          </w:tcPr>
          <w:p w14:paraId="02B29605" w14:textId="77777777" w:rsidR="00080440" w:rsidRPr="00080440" w:rsidRDefault="00080440" w:rsidP="00080440">
            <w:pPr>
              <w:pStyle w:val="ConsPlusNormal"/>
              <w:rPr>
                <w:rFonts w:ascii="Times New Roman" w:hAnsi="Times New Roman" w:cs="Times New Roman"/>
                <w:szCs w:val="22"/>
              </w:rPr>
            </w:pPr>
            <w:r w:rsidRPr="00080440">
              <w:rPr>
                <w:rFonts w:ascii="Times New Roman" w:hAnsi="Times New Roman" w:cs="Times New Roman"/>
                <w:szCs w:val="22"/>
              </w:rPr>
              <w:t>(1) При отсутствии годовых - пост.</w:t>
            </w:r>
          </w:p>
          <w:p w14:paraId="3C908B40" w14:textId="1831EDC6" w:rsidR="00080440" w:rsidRPr="00080440" w:rsidRDefault="00080440" w:rsidP="00080440">
            <w:pPr>
              <w:adjustRightInd w:val="0"/>
              <w:rPr>
                <w:b/>
                <w:sz w:val="22"/>
                <w:szCs w:val="22"/>
              </w:rPr>
            </w:pPr>
            <w:r w:rsidRPr="00080440">
              <w:rPr>
                <w:sz w:val="22"/>
                <w:szCs w:val="22"/>
              </w:rPr>
              <w:t>(2) При отсутствии годовых, квартальных - пост.</w:t>
            </w:r>
          </w:p>
        </w:tc>
      </w:tr>
      <w:tr w:rsidR="00080440" w:rsidRPr="00080440" w14:paraId="69411938" w14:textId="77777777" w:rsidTr="005B527B">
        <w:tc>
          <w:tcPr>
            <w:tcW w:w="990" w:type="dxa"/>
            <w:tcBorders>
              <w:top w:val="nil"/>
              <w:bottom w:val="nil"/>
            </w:tcBorders>
            <w:shd w:val="clear" w:color="auto" w:fill="auto"/>
          </w:tcPr>
          <w:p w14:paraId="10D1F26A" w14:textId="77777777" w:rsidR="00080440" w:rsidRPr="00080440" w:rsidRDefault="00080440" w:rsidP="006D082F">
            <w:pPr>
              <w:adjustRightInd w:val="0"/>
              <w:jc w:val="center"/>
              <w:rPr>
                <w:b/>
                <w:sz w:val="22"/>
                <w:szCs w:val="22"/>
              </w:rPr>
            </w:pPr>
          </w:p>
        </w:tc>
        <w:tc>
          <w:tcPr>
            <w:tcW w:w="4817" w:type="dxa"/>
            <w:tcBorders>
              <w:top w:val="nil"/>
              <w:bottom w:val="nil"/>
            </w:tcBorders>
            <w:shd w:val="clear" w:color="auto" w:fill="auto"/>
          </w:tcPr>
          <w:p w14:paraId="614D792A" w14:textId="4E7B81FF" w:rsidR="00080440" w:rsidRPr="00080440" w:rsidRDefault="00080440" w:rsidP="00080440">
            <w:pPr>
              <w:adjustRightInd w:val="0"/>
              <w:rPr>
                <w:b/>
                <w:sz w:val="22"/>
                <w:szCs w:val="22"/>
              </w:rPr>
            </w:pPr>
            <w:r w:rsidRPr="00080440">
              <w:rPr>
                <w:sz w:val="22"/>
                <w:szCs w:val="22"/>
              </w:rPr>
              <w:t>а) сводная годовая (консолидированная)</w:t>
            </w:r>
          </w:p>
        </w:tc>
        <w:tc>
          <w:tcPr>
            <w:tcW w:w="1843" w:type="dxa"/>
            <w:tcBorders>
              <w:top w:val="nil"/>
              <w:bottom w:val="nil"/>
            </w:tcBorders>
            <w:shd w:val="clear" w:color="auto" w:fill="auto"/>
          </w:tcPr>
          <w:p w14:paraId="742E23FC" w14:textId="733705E6" w:rsidR="00080440" w:rsidRPr="00080440" w:rsidRDefault="00080440" w:rsidP="00080440">
            <w:pPr>
              <w:adjustRightInd w:val="0"/>
              <w:outlineLvl w:val="0"/>
              <w:rPr>
                <w:b/>
                <w:sz w:val="22"/>
                <w:szCs w:val="22"/>
              </w:rPr>
            </w:pPr>
            <w:r w:rsidRPr="00080440">
              <w:rPr>
                <w:sz w:val="22"/>
                <w:szCs w:val="22"/>
              </w:rPr>
              <w:t xml:space="preserve">Пост. </w:t>
            </w:r>
            <w:hyperlink w:anchor="P5651" w:history="1">
              <w:r w:rsidRPr="00080440">
                <w:rPr>
                  <w:color w:val="0000FF"/>
                  <w:sz w:val="22"/>
                  <w:szCs w:val="22"/>
                </w:rPr>
                <w:t>&lt;**&gt;</w:t>
              </w:r>
            </w:hyperlink>
          </w:p>
        </w:tc>
        <w:tc>
          <w:tcPr>
            <w:tcW w:w="2268" w:type="dxa"/>
            <w:tcBorders>
              <w:top w:val="nil"/>
              <w:bottom w:val="nil"/>
            </w:tcBorders>
            <w:shd w:val="clear" w:color="auto" w:fill="auto"/>
          </w:tcPr>
          <w:p w14:paraId="292771AF" w14:textId="77777777" w:rsidR="00080440" w:rsidRPr="00080440" w:rsidRDefault="00080440" w:rsidP="00080440">
            <w:pPr>
              <w:adjustRightInd w:val="0"/>
              <w:rPr>
                <w:b/>
                <w:sz w:val="22"/>
                <w:szCs w:val="22"/>
              </w:rPr>
            </w:pPr>
          </w:p>
        </w:tc>
      </w:tr>
      <w:tr w:rsidR="00080440" w:rsidRPr="00080440" w14:paraId="15961448" w14:textId="77777777" w:rsidTr="005B527B">
        <w:tc>
          <w:tcPr>
            <w:tcW w:w="990" w:type="dxa"/>
            <w:tcBorders>
              <w:top w:val="nil"/>
              <w:bottom w:val="nil"/>
            </w:tcBorders>
            <w:shd w:val="clear" w:color="auto" w:fill="auto"/>
          </w:tcPr>
          <w:p w14:paraId="6FE26433" w14:textId="77777777" w:rsidR="00080440" w:rsidRPr="00080440" w:rsidRDefault="00080440" w:rsidP="006D082F">
            <w:pPr>
              <w:adjustRightInd w:val="0"/>
              <w:jc w:val="center"/>
              <w:rPr>
                <w:b/>
                <w:sz w:val="22"/>
                <w:szCs w:val="22"/>
              </w:rPr>
            </w:pPr>
          </w:p>
        </w:tc>
        <w:tc>
          <w:tcPr>
            <w:tcW w:w="4817" w:type="dxa"/>
            <w:tcBorders>
              <w:top w:val="nil"/>
              <w:bottom w:val="nil"/>
            </w:tcBorders>
            <w:shd w:val="clear" w:color="auto" w:fill="auto"/>
          </w:tcPr>
          <w:p w14:paraId="5B2AF6EE" w14:textId="20EA48D6" w:rsidR="00080440" w:rsidRPr="00080440" w:rsidRDefault="00080440" w:rsidP="00080440">
            <w:pPr>
              <w:adjustRightInd w:val="0"/>
              <w:rPr>
                <w:b/>
                <w:sz w:val="22"/>
                <w:szCs w:val="22"/>
              </w:rPr>
            </w:pPr>
            <w:r w:rsidRPr="00080440">
              <w:rPr>
                <w:sz w:val="22"/>
                <w:szCs w:val="22"/>
              </w:rPr>
              <w:t>б) годовая</w:t>
            </w:r>
          </w:p>
        </w:tc>
        <w:tc>
          <w:tcPr>
            <w:tcW w:w="1843" w:type="dxa"/>
            <w:tcBorders>
              <w:top w:val="nil"/>
              <w:bottom w:val="nil"/>
            </w:tcBorders>
            <w:shd w:val="clear" w:color="auto" w:fill="auto"/>
          </w:tcPr>
          <w:p w14:paraId="1A4FF2C9" w14:textId="56F8EC05" w:rsidR="00080440" w:rsidRPr="00080440" w:rsidRDefault="00080440" w:rsidP="00080440">
            <w:pPr>
              <w:adjustRightInd w:val="0"/>
              <w:outlineLvl w:val="0"/>
              <w:rPr>
                <w:b/>
                <w:sz w:val="22"/>
                <w:szCs w:val="22"/>
              </w:rPr>
            </w:pPr>
            <w:r w:rsidRPr="00080440">
              <w:rPr>
                <w:sz w:val="22"/>
                <w:szCs w:val="22"/>
              </w:rPr>
              <w:t>Пост.</w:t>
            </w:r>
          </w:p>
        </w:tc>
        <w:tc>
          <w:tcPr>
            <w:tcW w:w="2268" w:type="dxa"/>
            <w:tcBorders>
              <w:top w:val="nil"/>
              <w:bottom w:val="nil"/>
            </w:tcBorders>
            <w:shd w:val="clear" w:color="auto" w:fill="auto"/>
          </w:tcPr>
          <w:p w14:paraId="0821D932" w14:textId="77777777" w:rsidR="00080440" w:rsidRPr="00080440" w:rsidRDefault="00080440" w:rsidP="00080440">
            <w:pPr>
              <w:adjustRightInd w:val="0"/>
              <w:rPr>
                <w:b/>
                <w:sz w:val="22"/>
                <w:szCs w:val="22"/>
              </w:rPr>
            </w:pPr>
          </w:p>
        </w:tc>
      </w:tr>
      <w:tr w:rsidR="00080440" w:rsidRPr="00080440" w14:paraId="2026FACE" w14:textId="77777777" w:rsidTr="005B527B">
        <w:tc>
          <w:tcPr>
            <w:tcW w:w="990" w:type="dxa"/>
            <w:tcBorders>
              <w:top w:val="nil"/>
              <w:bottom w:val="nil"/>
            </w:tcBorders>
            <w:shd w:val="clear" w:color="auto" w:fill="auto"/>
          </w:tcPr>
          <w:p w14:paraId="70FC9ADF" w14:textId="77777777" w:rsidR="00080440" w:rsidRPr="00080440" w:rsidRDefault="00080440" w:rsidP="006D082F">
            <w:pPr>
              <w:adjustRightInd w:val="0"/>
              <w:jc w:val="center"/>
              <w:rPr>
                <w:b/>
                <w:sz w:val="22"/>
                <w:szCs w:val="22"/>
              </w:rPr>
            </w:pPr>
          </w:p>
        </w:tc>
        <w:tc>
          <w:tcPr>
            <w:tcW w:w="4817" w:type="dxa"/>
            <w:tcBorders>
              <w:top w:val="nil"/>
              <w:bottom w:val="nil"/>
            </w:tcBorders>
            <w:shd w:val="clear" w:color="auto" w:fill="auto"/>
          </w:tcPr>
          <w:p w14:paraId="25CE57BF" w14:textId="26835116" w:rsidR="00080440" w:rsidRPr="00080440" w:rsidRDefault="00080440" w:rsidP="00080440">
            <w:pPr>
              <w:adjustRightInd w:val="0"/>
              <w:rPr>
                <w:b/>
                <w:sz w:val="22"/>
                <w:szCs w:val="22"/>
              </w:rPr>
            </w:pPr>
            <w:r w:rsidRPr="00080440">
              <w:rPr>
                <w:sz w:val="22"/>
                <w:szCs w:val="22"/>
              </w:rPr>
              <w:t>в) квартальная</w:t>
            </w:r>
          </w:p>
        </w:tc>
        <w:tc>
          <w:tcPr>
            <w:tcW w:w="1843" w:type="dxa"/>
            <w:tcBorders>
              <w:top w:val="nil"/>
              <w:bottom w:val="nil"/>
            </w:tcBorders>
            <w:shd w:val="clear" w:color="auto" w:fill="auto"/>
          </w:tcPr>
          <w:p w14:paraId="7809023D" w14:textId="16CA8798" w:rsidR="00080440" w:rsidRPr="00080440" w:rsidRDefault="00080440" w:rsidP="00080440">
            <w:pPr>
              <w:adjustRightInd w:val="0"/>
              <w:outlineLvl w:val="0"/>
              <w:rPr>
                <w:b/>
                <w:sz w:val="22"/>
                <w:szCs w:val="22"/>
              </w:rPr>
            </w:pPr>
            <w:r w:rsidRPr="00080440">
              <w:rPr>
                <w:sz w:val="22"/>
                <w:szCs w:val="22"/>
              </w:rPr>
              <w:t>5 л. (1)</w:t>
            </w:r>
          </w:p>
        </w:tc>
        <w:tc>
          <w:tcPr>
            <w:tcW w:w="2268" w:type="dxa"/>
            <w:tcBorders>
              <w:top w:val="nil"/>
              <w:bottom w:val="nil"/>
            </w:tcBorders>
            <w:shd w:val="clear" w:color="auto" w:fill="auto"/>
          </w:tcPr>
          <w:p w14:paraId="0CA7E5C9" w14:textId="77777777" w:rsidR="00080440" w:rsidRPr="00080440" w:rsidRDefault="00080440" w:rsidP="00080440">
            <w:pPr>
              <w:adjustRightInd w:val="0"/>
              <w:rPr>
                <w:b/>
                <w:sz w:val="22"/>
                <w:szCs w:val="22"/>
              </w:rPr>
            </w:pPr>
          </w:p>
        </w:tc>
      </w:tr>
      <w:tr w:rsidR="00080440" w:rsidRPr="00080440" w14:paraId="0B9DA6B1" w14:textId="77777777" w:rsidTr="005B527B">
        <w:tc>
          <w:tcPr>
            <w:tcW w:w="990" w:type="dxa"/>
            <w:tcBorders>
              <w:top w:val="nil"/>
            </w:tcBorders>
            <w:shd w:val="clear" w:color="auto" w:fill="auto"/>
          </w:tcPr>
          <w:p w14:paraId="6F3F6529" w14:textId="77777777" w:rsidR="00080440" w:rsidRPr="00080440" w:rsidRDefault="00080440" w:rsidP="006D082F">
            <w:pPr>
              <w:adjustRightInd w:val="0"/>
              <w:jc w:val="center"/>
              <w:rPr>
                <w:b/>
                <w:sz w:val="22"/>
                <w:szCs w:val="22"/>
              </w:rPr>
            </w:pPr>
          </w:p>
        </w:tc>
        <w:tc>
          <w:tcPr>
            <w:tcW w:w="4817" w:type="dxa"/>
            <w:tcBorders>
              <w:top w:val="nil"/>
            </w:tcBorders>
            <w:shd w:val="clear" w:color="auto" w:fill="auto"/>
          </w:tcPr>
          <w:p w14:paraId="6E18B6A0" w14:textId="72C09A72" w:rsidR="00080440" w:rsidRPr="00080440" w:rsidRDefault="00080440" w:rsidP="00080440">
            <w:pPr>
              <w:adjustRightInd w:val="0"/>
              <w:rPr>
                <w:b/>
                <w:sz w:val="22"/>
                <w:szCs w:val="22"/>
              </w:rPr>
            </w:pPr>
            <w:r w:rsidRPr="00080440">
              <w:rPr>
                <w:sz w:val="22"/>
                <w:szCs w:val="22"/>
              </w:rPr>
              <w:t>г) месячная</w:t>
            </w:r>
          </w:p>
        </w:tc>
        <w:tc>
          <w:tcPr>
            <w:tcW w:w="1843" w:type="dxa"/>
            <w:tcBorders>
              <w:top w:val="nil"/>
            </w:tcBorders>
            <w:shd w:val="clear" w:color="auto" w:fill="auto"/>
          </w:tcPr>
          <w:p w14:paraId="45230525" w14:textId="61F20B83" w:rsidR="00080440" w:rsidRPr="00080440" w:rsidRDefault="00080440" w:rsidP="00080440">
            <w:pPr>
              <w:adjustRightInd w:val="0"/>
              <w:outlineLvl w:val="0"/>
              <w:rPr>
                <w:b/>
                <w:sz w:val="22"/>
                <w:szCs w:val="22"/>
              </w:rPr>
            </w:pPr>
            <w:r w:rsidRPr="00080440">
              <w:rPr>
                <w:sz w:val="22"/>
                <w:szCs w:val="22"/>
              </w:rPr>
              <w:t>1 г. (2)</w:t>
            </w:r>
          </w:p>
        </w:tc>
        <w:tc>
          <w:tcPr>
            <w:tcW w:w="2268" w:type="dxa"/>
            <w:tcBorders>
              <w:top w:val="nil"/>
            </w:tcBorders>
            <w:shd w:val="clear" w:color="auto" w:fill="auto"/>
          </w:tcPr>
          <w:p w14:paraId="6B89415E" w14:textId="77777777" w:rsidR="00080440" w:rsidRPr="00080440" w:rsidRDefault="00080440" w:rsidP="00080440">
            <w:pPr>
              <w:adjustRightInd w:val="0"/>
              <w:rPr>
                <w:b/>
                <w:sz w:val="22"/>
                <w:szCs w:val="22"/>
              </w:rPr>
            </w:pPr>
          </w:p>
        </w:tc>
      </w:tr>
      <w:tr w:rsidR="00080440" w:rsidRPr="00080440" w14:paraId="3EF606BE" w14:textId="77777777" w:rsidTr="005B527B">
        <w:tc>
          <w:tcPr>
            <w:tcW w:w="990" w:type="dxa"/>
            <w:tcBorders>
              <w:top w:val="single" w:sz="4" w:space="0" w:color="auto"/>
              <w:left w:val="single" w:sz="4" w:space="0" w:color="auto"/>
              <w:right w:val="single" w:sz="4" w:space="0" w:color="auto"/>
            </w:tcBorders>
            <w:shd w:val="clear" w:color="auto" w:fill="auto"/>
          </w:tcPr>
          <w:p w14:paraId="0441835A" w14:textId="77777777" w:rsidR="00080440" w:rsidRPr="00080440" w:rsidRDefault="00080440" w:rsidP="006D082F">
            <w:pPr>
              <w:adjustRightInd w:val="0"/>
              <w:jc w:val="center"/>
              <w:rPr>
                <w:b/>
                <w:sz w:val="22"/>
                <w:szCs w:val="22"/>
              </w:rPr>
            </w:pPr>
          </w:p>
        </w:tc>
        <w:tc>
          <w:tcPr>
            <w:tcW w:w="4817" w:type="dxa"/>
            <w:tcBorders>
              <w:top w:val="single" w:sz="4" w:space="0" w:color="auto"/>
              <w:left w:val="single" w:sz="4" w:space="0" w:color="auto"/>
              <w:right w:val="single" w:sz="4" w:space="0" w:color="auto"/>
            </w:tcBorders>
            <w:shd w:val="clear" w:color="auto" w:fill="auto"/>
          </w:tcPr>
          <w:p w14:paraId="6058C3F3" w14:textId="10E297BF" w:rsidR="00080440" w:rsidRPr="00080440" w:rsidRDefault="00080440" w:rsidP="00080440">
            <w:pPr>
              <w:adjustRightInd w:val="0"/>
              <w:rPr>
                <w:b/>
                <w:sz w:val="22"/>
                <w:szCs w:val="22"/>
              </w:rPr>
            </w:pPr>
            <w:r w:rsidRPr="00080440">
              <w:rPr>
                <w:b/>
                <w:sz w:val="22"/>
                <w:szCs w:val="22"/>
              </w:rPr>
              <w:t>....</w:t>
            </w:r>
          </w:p>
        </w:tc>
        <w:tc>
          <w:tcPr>
            <w:tcW w:w="1843" w:type="dxa"/>
            <w:tcBorders>
              <w:top w:val="single" w:sz="4" w:space="0" w:color="auto"/>
              <w:left w:val="single" w:sz="4" w:space="0" w:color="auto"/>
              <w:right w:val="single" w:sz="4" w:space="0" w:color="auto"/>
            </w:tcBorders>
            <w:shd w:val="clear" w:color="auto" w:fill="auto"/>
          </w:tcPr>
          <w:p w14:paraId="48621A38" w14:textId="77777777" w:rsidR="00080440" w:rsidRPr="00080440" w:rsidRDefault="00080440" w:rsidP="00080440">
            <w:pPr>
              <w:adjustRightInd w:val="0"/>
              <w:outlineLvl w:val="0"/>
              <w:rPr>
                <w:b/>
                <w:sz w:val="22"/>
                <w:szCs w:val="22"/>
              </w:rPr>
            </w:pPr>
          </w:p>
        </w:tc>
        <w:tc>
          <w:tcPr>
            <w:tcW w:w="2268" w:type="dxa"/>
            <w:tcBorders>
              <w:top w:val="single" w:sz="4" w:space="0" w:color="auto"/>
              <w:left w:val="single" w:sz="4" w:space="0" w:color="auto"/>
              <w:right w:val="single" w:sz="4" w:space="0" w:color="auto"/>
            </w:tcBorders>
            <w:shd w:val="clear" w:color="auto" w:fill="auto"/>
          </w:tcPr>
          <w:p w14:paraId="7694A11F" w14:textId="77777777" w:rsidR="00080440" w:rsidRPr="00080440" w:rsidRDefault="00080440" w:rsidP="00080440">
            <w:pPr>
              <w:adjustRightInd w:val="0"/>
              <w:rPr>
                <w:b/>
                <w:sz w:val="22"/>
                <w:szCs w:val="22"/>
              </w:rPr>
            </w:pPr>
          </w:p>
        </w:tc>
      </w:tr>
      <w:tr w:rsidR="00080440" w:rsidRPr="00080440" w14:paraId="4C9F95FA" w14:textId="77777777" w:rsidTr="005B527B">
        <w:tc>
          <w:tcPr>
            <w:tcW w:w="990" w:type="dxa"/>
            <w:shd w:val="clear" w:color="auto" w:fill="auto"/>
          </w:tcPr>
          <w:p w14:paraId="5D2D80F9" w14:textId="46A0F47A" w:rsidR="00080440" w:rsidRPr="00080440" w:rsidRDefault="00080440" w:rsidP="006D082F">
            <w:pPr>
              <w:adjustRightInd w:val="0"/>
              <w:jc w:val="center"/>
              <w:rPr>
                <w:b/>
                <w:sz w:val="22"/>
                <w:szCs w:val="22"/>
              </w:rPr>
            </w:pPr>
            <w:r w:rsidRPr="00080440">
              <w:rPr>
                <w:sz w:val="22"/>
                <w:szCs w:val="22"/>
              </w:rPr>
              <w:t>358</w:t>
            </w:r>
          </w:p>
        </w:tc>
        <w:tc>
          <w:tcPr>
            <w:tcW w:w="4817" w:type="dxa"/>
            <w:shd w:val="clear" w:color="auto" w:fill="auto"/>
          </w:tcPr>
          <w:p w14:paraId="35B9ACD8" w14:textId="27CFCFFA" w:rsidR="00080440" w:rsidRPr="006D082F" w:rsidRDefault="00080440" w:rsidP="00080440">
            <w:pPr>
              <w:adjustRightInd w:val="0"/>
              <w:rPr>
                <w:b/>
                <w:sz w:val="22"/>
                <w:szCs w:val="22"/>
              </w:rPr>
            </w:pPr>
            <w:r w:rsidRPr="006D082F">
              <w:rPr>
                <w:b/>
                <w:sz w:val="22"/>
                <w:szCs w:val="22"/>
              </w:rPr>
              <w:t>Бухгалтерская (финансовая) отчетность по международным стандартам финансовой отчетности или другим стандартам</w:t>
            </w:r>
          </w:p>
        </w:tc>
        <w:tc>
          <w:tcPr>
            <w:tcW w:w="1843" w:type="dxa"/>
            <w:shd w:val="clear" w:color="auto" w:fill="auto"/>
          </w:tcPr>
          <w:p w14:paraId="2F28B2E3" w14:textId="6A6A739F" w:rsidR="00080440" w:rsidRPr="00080440" w:rsidRDefault="00080440" w:rsidP="00080440">
            <w:pPr>
              <w:adjustRightInd w:val="0"/>
              <w:outlineLvl w:val="0"/>
              <w:rPr>
                <w:b/>
                <w:sz w:val="22"/>
                <w:szCs w:val="22"/>
              </w:rPr>
            </w:pPr>
            <w:r w:rsidRPr="00080440">
              <w:rPr>
                <w:sz w:val="22"/>
                <w:szCs w:val="22"/>
              </w:rPr>
              <w:t xml:space="preserve">Пост. </w:t>
            </w:r>
            <w:hyperlink w:anchor="P5651" w:history="1">
              <w:r w:rsidRPr="00080440">
                <w:rPr>
                  <w:color w:val="0000FF"/>
                  <w:sz w:val="22"/>
                  <w:szCs w:val="22"/>
                </w:rPr>
                <w:t>&lt;**&gt;</w:t>
              </w:r>
            </w:hyperlink>
          </w:p>
        </w:tc>
        <w:tc>
          <w:tcPr>
            <w:tcW w:w="2268" w:type="dxa"/>
            <w:shd w:val="clear" w:color="auto" w:fill="auto"/>
          </w:tcPr>
          <w:p w14:paraId="47636ED4" w14:textId="77777777" w:rsidR="00080440" w:rsidRPr="00080440" w:rsidRDefault="00080440" w:rsidP="00080440">
            <w:pPr>
              <w:adjustRightInd w:val="0"/>
              <w:rPr>
                <w:b/>
                <w:sz w:val="22"/>
                <w:szCs w:val="22"/>
              </w:rPr>
            </w:pPr>
          </w:p>
        </w:tc>
      </w:tr>
      <w:tr w:rsidR="00080440" w:rsidRPr="00080440" w14:paraId="6A3E51A3" w14:textId="77777777" w:rsidTr="005B527B">
        <w:tc>
          <w:tcPr>
            <w:tcW w:w="990" w:type="dxa"/>
            <w:tcBorders>
              <w:top w:val="single" w:sz="4" w:space="0" w:color="auto"/>
              <w:left w:val="single" w:sz="4" w:space="0" w:color="auto"/>
              <w:right w:val="single" w:sz="4" w:space="0" w:color="auto"/>
            </w:tcBorders>
            <w:shd w:val="clear" w:color="auto" w:fill="auto"/>
          </w:tcPr>
          <w:p w14:paraId="38483D03" w14:textId="77777777" w:rsidR="00080440" w:rsidRPr="00080440" w:rsidRDefault="00080440" w:rsidP="00080440">
            <w:pPr>
              <w:adjustRightInd w:val="0"/>
              <w:rPr>
                <w:b/>
                <w:sz w:val="22"/>
                <w:szCs w:val="22"/>
              </w:rPr>
            </w:pPr>
          </w:p>
        </w:tc>
        <w:tc>
          <w:tcPr>
            <w:tcW w:w="4817" w:type="dxa"/>
            <w:tcBorders>
              <w:top w:val="single" w:sz="4" w:space="0" w:color="auto"/>
              <w:left w:val="single" w:sz="4" w:space="0" w:color="auto"/>
              <w:right w:val="single" w:sz="4" w:space="0" w:color="auto"/>
            </w:tcBorders>
            <w:shd w:val="clear" w:color="auto" w:fill="auto"/>
          </w:tcPr>
          <w:p w14:paraId="46596153" w14:textId="1345F45C" w:rsidR="00080440" w:rsidRPr="00080440" w:rsidRDefault="00330B20" w:rsidP="00080440">
            <w:pPr>
              <w:adjustRightInd w:val="0"/>
              <w:rPr>
                <w:b/>
                <w:sz w:val="22"/>
                <w:szCs w:val="22"/>
              </w:rPr>
            </w:pPr>
            <w:r>
              <w:rPr>
                <w:b/>
                <w:sz w:val="22"/>
                <w:szCs w:val="22"/>
              </w:rPr>
              <w:t>....</w:t>
            </w:r>
          </w:p>
        </w:tc>
        <w:tc>
          <w:tcPr>
            <w:tcW w:w="1843" w:type="dxa"/>
            <w:tcBorders>
              <w:top w:val="single" w:sz="4" w:space="0" w:color="auto"/>
              <w:left w:val="single" w:sz="4" w:space="0" w:color="auto"/>
              <w:right w:val="single" w:sz="4" w:space="0" w:color="auto"/>
            </w:tcBorders>
            <w:shd w:val="clear" w:color="auto" w:fill="auto"/>
          </w:tcPr>
          <w:p w14:paraId="6DF780B2" w14:textId="77777777" w:rsidR="00080440" w:rsidRPr="00080440" w:rsidRDefault="00080440" w:rsidP="00080440">
            <w:pPr>
              <w:adjustRightInd w:val="0"/>
              <w:outlineLvl w:val="0"/>
              <w:rPr>
                <w:b/>
                <w:sz w:val="22"/>
                <w:szCs w:val="22"/>
              </w:rPr>
            </w:pPr>
          </w:p>
        </w:tc>
        <w:tc>
          <w:tcPr>
            <w:tcW w:w="2268" w:type="dxa"/>
            <w:tcBorders>
              <w:top w:val="single" w:sz="4" w:space="0" w:color="auto"/>
              <w:left w:val="single" w:sz="4" w:space="0" w:color="auto"/>
              <w:right w:val="single" w:sz="4" w:space="0" w:color="auto"/>
            </w:tcBorders>
            <w:shd w:val="clear" w:color="auto" w:fill="auto"/>
          </w:tcPr>
          <w:p w14:paraId="4B111ACF" w14:textId="77777777" w:rsidR="00080440" w:rsidRPr="00080440" w:rsidRDefault="00080440" w:rsidP="00080440">
            <w:pPr>
              <w:adjustRightInd w:val="0"/>
              <w:rPr>
                <w:b/>
                <w:sz w:val="22"/>
                <w:szCs w:val="22"/>
              </w:rPr>
            </w:pPr>
          </w:p>
        </w:tc>
      </w:tr>
      <w:tr w:rsidR="00080440" w:rsidRPr="00E65370" w14:paraId="5FFC5559" w14:textId="77777777" w:rsidTr="005B527B">
        <w:tc>
          <w:tcPr>
            <w:tcW w:w="990" w:type="dxa"/>
            <w:tcBorders>
              <w:top w:val="single" w:sz="4" w:space="0" w:color="auto"/>
              <w:left w:val="single" w:sz="4" w:space="0" w:color="auto"/>
              <w:right w:val="single" w:sz="4" w:space="0" w:color="auto"/>
            </w:tcBorders>
          </w:tcPr>
          <w:p w14:paraId="3C3C3E05" w14:textId="77777777" w:rsidR="00080440" w:rsidRPr="00E65370" w:rsidRDefault="00080440" w:rsidP="00080440">
            <w:pPr>
              <w:autoSpaceDE w:val="0"/>
              <w:autoSpaceDN w:val="0"/>
              <w:adjustRightInd w:val="0"/>
              <w:jc w:val="center"/>
              <w:rPr>
                <w:sz w:val="22"/>
                <w:szCs w:val="22"/>
              </w:rPr>
            </w:pPr>
            <w:r w:rsidRPr="00E65370">
              <w:rPr>
                <w:sz w:val="22"/>
                <w:szCs w:val="22"/>
              </w:rPr>
              <w:t>404</w:t>
            </w:r>
          </w:p>
        </w:tc>
        <w:tc>
          <w:tcPr>
            <w:tcW w:w="4817" w:type="dxa"/>
            <w:tcBorders>
              <w:top w:val="single" w:sz="4" w:space="0" w:color="auto"/>
              <w:left w:val="single" w:sz="4" w:space="0" w:color="auto"/>
              <w:right w:val="single" w:sz="4" w:space="0" w:color="auto"/>
            </w:tcBorders>
          </w:tcPr>
          <w:p w14:paraId="6E241816" w14:textId="77777777" w:rsidR="00080440" w:rsidRPr="00E65370" w:rsidRDefault="00080440" w:rsidP="00080440">
            <w:pPr>
              <w:autoSpaceDE w:val="0"/>
              <w:autoSpaceDN w:val="0"/>
              <w:adjustRightInd w:val="0"/>
              <w:rPr>
                <w:sz w:val="22"/>
                <w:szCs w:val="22"/>
              </w:rPr>
            </w:pPr>
            <w:r w:rsidRPr="00E65370">
              <w:rPr>
                <w:b/>
                <w:sz w:val="22"/>
                <w:szCs w:val="22"/>
              </w:rPr>
              <w:t>Стандарты, методики проведения аудита</w:t>
            </w:r>
            <w:r w:rsidRPr="00E65370">
              <w:rPr>
                <w:sz w:val="22"/>
                <w:szCs w:val="22"/>
              </w:rPr>
              <w:t>:</w:t>
            </w:r>
          </w:p>
        </w:tc>
        <w:tc>
          <w:tcPr>
            <w:tcW w:w="1843" w:type="dxa"/>
            <w:tcBorders>
              <w:top w:val="single" w:sz="4" w:space="0" w:color="auto"/>
              <w:left w:val="single" w:sz="4" w:space="0" w:color="auto"/>
              <w:right w:val="single" w:sz="4" w:space="0" w:color="auto"/>
            </w:tcBorders>
          </w:tcPr>
          <w:p w14:paraId="79BCEEC3" w14:textId="77777777" w:rsidR="00080440" w:rsidRPr="00E65370" w:rsidRDefault="00080440" w:rsidP="00080440">
            <w:pPr>
              <w:autoSpaceDE w:val="0"/>
              <w:autoSpaceDN w:val="0"/>
              <w:adjustRightInd w:val="0"/>
              <w:jc w:val="both"/>
              <w:outlineLvl w:val="0"/>
              <w:rPr>
                <w:sz w:val="22"/>
                <w:szCs w:val="22"/>
              </w:rPr>
            </w:pPr>
          </w:p>
        </w:tc>
        <w:tc>
          <w:tcPr>
            <w:tcW w:w="2268" w:type="dxa"/>
            <w:tcBorders>
              <w:top w:val="single" w:sz="4" w:space="0" w:color="auto"/>
              <w:left w:val="single" w:sz="4" w:space="0" w:color="auto"/>
              <w:right w:val="single" w:sz="4" w:space="0" w:color="auto"/>
            </w:tcBorders>
          </w:tcPr>
          <w:p w14:paraId="6020A8E5" w14:textId="77777777" w:rsidR="00080440" w:rsidRPr="00E65370" w:rsidRDefault="00080440" w:rsidP="00080440">
            <w:pPr>
              <w:autoSpaceDE w:val="0"/>
              <w:autoSpaceDN w:val="0"/>
              <w:adjustRightInd w:val="0"/>
              <w:jc w:val="both"/>
              <w:rPr>
                <w:sz w:val="22"/>
                <w:szCs w:val="22"/>
              </w:rPr>
            </w:pPr>
          </w:p>
        </w:tc>
      </w:tr>
      <w:tr w:rsidR="00080440" w:rsidRPr="00E65370" w14:paraId="1BFB3074" w14:textId="77777777" w:rsidTr="005B527B">
        <w:tc>
          <w:tcPr>
            <w:tcW w:w="990" w:type="dxa"/>
            <w:tcBorders>
              <w:left w:val="single" w:sz="4" w:space="0" w:color="auto"/>
              <w:right w:val="single" w:sz="4" w:space="0" w:color="auto"/>
            </w:tcBorders>
          </w:tcPr>
          <w:p w14:paraId="6E631058" w14:textId="77777777" w:rsidR="00080440" w:rsidRPr="00E65370" w:rsidRDefault="00080440" w:rsidP="00080440">
            <w:pPr>
              <w:autoSpaceDE w:val="0"/>
              <w:autoSpaceDN w:val="0"/>
              <w:adjustRightInd w:val="0"/>
              <w:jc w:val="both"/>
              <w:rPr>
                <w:sz w:val="22"/>
                <w:szCs w:val="22"/>
              </w:rPr>
            </w:pPr>
          </w:p>
        </w:tc>
        <w:tc>
          <w:tcPr>
            <w:tcW w:w="4817" w:type="dxa"/>
            <w:tcBorders>
              <w:left w:val="single" w:sz="4" w:space="0" w:color="auto"/>
              <w:right w:val="single" w:sz="4" w:space="0" w:color="auto"/>
            </w:tcBorders>
          </w:tcPr>
          <w:p w14:paraId="6976F814" w14:textId="77777777" w:rsidR="00080440" w:rsidRPr="00E65370" w:rsidRDefault="00080440" w:rsidP="00080440">
            <w:pPr>
              <w:autoSpaceDE w:val="0"/>
              <w:autoSpaceDN w:val="0"/>
              <w:adjustRightInd w:val="0"/>
              <w:rPr>
                <w:sz w:val="22"/>
                <w:szCs w:val="22"/>
              </w:rPr>
            </w:pPr>
            <w:r w:rsidRPr="00E65370">
              <w:rPr>
                <w:sz w:val="22"/>
                <w:szCs w:val="22"/>
              </w:rPr>
              <w:t>а) по месту разработки</w:t>
            </w:r>
          </w:p>
        </w:tc>
        <w:tc>
          <w:tcPr>
            <w:tcW w:w="1843" w:type="dxa"/>
            <w:tcBorders>
              <w:left w:val="single" w:sz="4" w:space="0" w:color="auto"/>
              <w:right w:val="single" w:sz="4" w:space="0" w:color="auto"/>
            </w:tcBorders>
          </w:tcPr>
          <w:p w14:paraId="1417F7B4" w14:textId="77777777" w:rsidR="00080440" w:rsidRPr="00E65370" w:rsidRDefault="00080440" w:rsidP="00080440">
            <w:pPr>
              <w:autoSpaceDE w:val="0"/>
              <w:autoSpaceDN w:val="0"/>
              <w:adjustRightInd w:val="0"/>
              <w:rPr>
                <w:sz w:val="22"/>
                <w:szCs w:val="22"/>
              </w:rPr>
            </w:pPr>
            <w:r w:rsidRPr="00E65370">
              <w:rPr>
                <w:sz w:val="22"/>
                <w:szCs w:val="22"/>
              </w:rPr>
              <w:t>Пост.</w:t>
            </w:r>
          </w:p>
        </w:tc>
        <w:tc>
          <w:tcPr>
            <w:tcW w:w="2268" w:type="dxa"/>
            <w:tcBorders>
              <w:left w:val="single" w:sz="4" w:space="0" w:color="auto"/>
              <w:right w:val="single" w:sz="4" w:space="0" w:color="auto"/>
            </w:tcBorders>
          </w:tcPr>
          <w:p w14:paraId="76865F19" w14:textId="77777777" w:rsidR="00080440" w:rsidRPr="00E65370" w:rsidRDefault="00080440" w:rsidP="00080440">
            <w:pPr>
              <w:autoSpaceDE w:val="0"/>
              <w:autoSpaceDN w:val="0"/>
              <w:adjustRightInd w:val="0"/>
              <w:jc w:val="both"/>
              <w:rPr>
                <w:sz w:val="22"/>
                <w:szCs w:val="22"/>
              </w:rPr>
            </w:pPr>
          </w:p>
        </w:tc>
      </w:tr>
      <w:tr w:rsidR="00080440" w:rsidRPr="00E65370" w14:paraId="17D2923A" w14:textId="77777777" w:rsidTr="005B527B">
        <w:tc>
          <w:tcPr>
            <w:tcW w:w="990" w:type="dxa"/>
            <w:tcBorders>
              <w:left w:val="single" w:sz="4" w:space="0" w:color="auto"/>
              <w:bottom w:val="single" w:sz="4" w:space="0" w:color="auto"/>
              <w:right w:val="single" w:sz="4" w:space="0" w:color="auto"/>
            </w:tcBorders>
          </w:tcPr>
          <w:p w14:paraId="0E7E9B0D" w14:textId="77777777" w:rsidR="00080440" w:rsidRPr="00E65370" w:rsidRDefault="00080440" w:rsidP="00080440">
            <w:pPr>
              <w:autoSpaceDE w:val="0"/>
              <w:autoSpaceDN w:val="0"/>
              <w:adjustRightInd w:val="0"/>
              <w:jc w:val="both"/>
              <w:rPr>
                <w:sz w:val="22"/>
                <w:szCs w:val="22"/>
              </w:rPr>
            </w:pPr>
          </w:p>
        </w:tc>
        <w:tc>
          <w:tcPr>
            <w:tcW w:w="4817" w:type="dxa"/>
            <w:tcBorders>
              <w:left w:val="single" w:sz="4" w:space="0" w:color="auto"/>
              <w:bottom w:val="single" w:sz="4" w:space="0" w:color="auto"/>
              <w:right w:val="single" w:sz="4" w:space="0" w:color="auto"/>
            </w:tcBorders>
          </w:tcPr>
          <w:p w14:paraId="2A0EEB16" w14:textId="77777777" w:rsidR="00080440" w:rsidRPr="00E65370" w:rsidRDefault="00080440" w:rsidP="00080440">
            <w:pPr>
              <w:autoSpaceDE w:val="0"/>
              <w:autoSpaceDN w:val="0"/>
              <w:adjustRightInd w:val="0"/>
              <w:rPr>
                <w:sz w:val="22"/>
                <w:szCs w:val="22"/>
              </w:rPr>
            </w:pPr>
            <w:r w:rsidRPr="00E65370">
              <w:rPr>
                <w:sz w:val="22"/>
                <w:szCs w:val="22"/>
              </w:rPr>
              <w:t>б) в других организациях</w:t>
            </w:r>
          </w:p>
        </w:tc>
        <w:tc>
          <w:tcPr>
            <w:tcW w:w="1843" w:type="dxa"/>
            <w:tcBorders>
              <w:left w:val="single" w:sz="4" w:space="0" w:color="auto"/>
              <w:bottom w:val="single" w:sz="4" w:space="0" w:color="auto"/>
              <w:right w:val="single" w:sz="4" w:space="0" w:color="auto"/>
            </w:tcBorders>
          </w:tcPr>
          <w:p w14:paraId="195D68A9" w14:textId="77777777" w:rsidR="00080440" w:rsidRPr="00E65370" w:rsidRDefault="00080440" w:rsidP="00080440">
            <w:pPr>
              <w:autoSpaceDE w:val="0"/>
              <w:autoSpaceDN w:val="0"/>
              <w:adjustRightInd w:val="0"/>
              <w:rPr>
                <w:sz w:val="22"/>
                <w:szCs w:val="22"/>
              </w:rPr>
            </w:pPr>
            <w:r w:rsidRPr="00E65370">
              <w:rPr>
                <w:sz w:val="22"/>
                <w:szCs w:val="22"/>
              </w:rPr>
              <w:t>До замены новыми</w:t>
            </w:r>
          </w:p>
        </w:tc>
        <w:tc>
          <w:tcPr>
            <w:tcW w:w="2268" w:type="dxa"/>
            <w:tcBorders>
              <w:left w:val="single" w:sz="4" w:space="0" w:color="auto"/>
              <w:bottom w:val="single" w:sz="4" w:space="0" w:color="auto"/>
              <w:right w:val="single" w:sz="4" w:space="0" w:color="auto"/>
            </w:tcBorders>
          </w:tcPr>
          <w:p w14:paraId="2F84E1AE" w14:textId="77777777" w:rsidR="00080440" w:rsidRPr="00E65370" w:rsidRDefault="00080440" w:rsidP="00080440">
            <w:pPr>
              <w:autoSpaceDE w:val="0"/>
              <w:autoSpaceDN w:val="0"/>
              <w:adjustRightInd w:val="0"/>
              <w:jc w:val="both"/>
              <w:rPr>
                <w:sz w:val="22"/>
                <w:szCs w:val="22"/>
              </w:rPr>
            </w:pPr>
          </w:p>
        </w:tc>
      </w:tr>
      <w:tr w:rsidR="00080440" w:rsidRPr="00E65370" w14:paraId="1313D2CB" w14:textId="77777777" w:rsidTr="005B527B">
        <w:tc>
          <w:tcPr>
            <w:tcW w:w="990" w:type="dxa"/>
            <w:tcBorders>
              <w:top w:val="single" w:sz="4" w:space="0" w:color="auto"/>
              <w:left w:val="single" w:sz="4" w:space="0" w:color="auto"/>
              <w:right w:val="single" w:sz="4" w:space="0" w:color="auto"/>
            </w:tcBorders>
          </w:tcPr>
          <w:p w14:paraId="04406F86" w14:textId="77777777" w:rsidR="00080440" w:rsidRPr="00E65370" w:rsidRDefault="00080440" w:rsidP="00080440">
            <w:pPr>
              <w:autoSpaceDE w:val="0"/>
              <w:autoSpaceDN w:val="0"/>
              <w:adjustRightInd w:val="0"/>
              <w:jc w:val="center"/>
              <w:rPr>
                <w:sz w:val="22"/>
                <w:szCs w:val="22"/>
              </w:rPr>
            </w:pPr>
            <w:r w:rsidRPr="00E65370">
              <w:rPr>
                <w:sz w:val="22"/>
                <w:szCs w:val="22"/>
              </w:rPr>
              <w:t>405</w:t>
            </w:r>
          </w:p>
        </w:tc>
        <w:tc>
          <w:tcPr>
            <w:tcW w:w="4817" w:type="dxa"/>
            <w:tcBorders>
              <w:top w:val="single" w:sz="4" w:space="0" w:color="auto"/>
              <w:left w:val="single" w:sz="4" w:space="0" w:color="auto"/>
              <w:right w:val="single" w:sz="4" w:space="0" w:color="auto"/>
            </w:tcBorders>
          </w:tcPr>
          <w:p w14:paraId="370320DA" w14:textId="77777777" w:rsidR="00080440" w:rsidRPr="00E65370" w:rsidRDefault="00080440" w:rsidP="00080440">
            <w:pPr>
              <w:autoSpaceDE w:val="0"/>
              <w:autoSpaceDN w:val="0"/>
              <w:adjustRightInd w:val="0"/>
              <w:rPr>
                <w:b/>
                <w:sz w:val="22"/>
                <w:szCs w:val="22"/>
              </w:rPr>
            </w:pPr>
            <w:r w:rsidRPr="00E65370">
              <w:rPr>
                <w:b/>
                <w:sz w:val="22"/>
                <w:szCs w:val="22"/>
              </w:rPr>
              <w:t>Планы аудита (общие):</w:t>
            </w:r>
          </w:p>
        </w:tc>
        <w:tc>
          <w:tcPr>
            <w:tcW w:w="1843" w:type="dxa"/>
            <w:tcBorders>
              <w:top w:val="single" w:sz="4" w:space="0" w:color="auto"/>
              <w:left w:val="single" w:sz="4" w:space="0" w:color="auto"/>
              <w:right w:val="single" w:sz="4" w:space="0" w:color="auto"/>
            </w:tcBorders>
          </w:tcPr>
          <w:p w14:paraId="0E101561" w14:textId="77777777" w:rsidR="00080440" w:rsidRPr="00E65370" w:rsidRDefault="00080440" w:rsidP="00080440">
            <w:pPr>
              <w:autoSpaceDE w:val="0"/>
              <w:autoSpaceDN w:val="0"/>
              <w:adjustRightInd w:val="0"/>
              <w:jc w:val="both"/>
              <w:rPr>
                <w:sz w:val="22"/>
                <w:szCs w:val="22"/>
              </w:rPr>
            </w:pPr>
          </w:p>
        </w:tc>
        <w:tc>
          <w:tcPr>
            <w:tcW w:w="2268" w:type="dxa"/>
            <w:tcBorders>
              <w:top w:val="single" w:sz="4" w:space="0" w:color="auto"/>
              <w:left w:val="single" w:sz="4" w:space="0" w:color="auto"/>
              <w:right w:val="single" w:sz="4" w:space="0" w:color="auto"/>
            </w:tcBorders>
          </w:tcPr>
          <w:p w14:paraId="1A10D6F9" w14:textId="77777777" w:rsidR="00080440" w:rsidRPr="00E65370" w:rsidRDefault="00080440" w:rsidP="00080440">
            <w:pPr>
              <w:autoSpaceDE w:val="0"/>
              <w:autoSpaceDN w:val="0"/>
              <w:adjustRightInd w:val="0"/>
              <w:jc w:val="both"/>
              <w:rPr>
                <w:sz w:val="22"/>
                <w:szCs w:val="22"/>
              </w:rPr>
            </w:pPr>
          </w:p>
        </w:tc>
      </w:tr>
      <w:tr w:rsidR="00080440" w:rsidRPr="00E65370" w14:paraId="06F1A500" w14:textId="77777777" w:rsidTr="005B527B">
        <w:tc>
          <w:tcPr>
            <w:tcW w:w="990" w:type="dxa"/>
            <w:tcBorders>
              <w:left w:val="single" w:sz="4" w:space="0" w:color="auto"/>
              <w:right w:val="single" w:sz="4" w:space="0" w:color="auto"/>
            </w:tcBorders>
          </w:tcPr>
          <w:p w14:paraId="7A8A8265" w14:textId="77777777" w:rsidR="00080440" w:rsidRPr="00E65370" w:rsidRDefault="00080440" w:rsidP="00080440">
            <w:pPr>
              <w:autoSpaceDE w:val="0"/>
              <w:autoSpaceDN w:val="0"/>
              <w:adjustRightInd w:val="0"/>
              <w:jc w:val="both"/>
              <w:rPr>
                <w:sz w:val="22"/>
                <w:szCs w:val="22"/>
              </w:rPr>
            </w:pPr>
          </w:p>
        </w:tc>
        <w:tc>
          <w:tcPr>
            <w:tcW w:w="4817" w:type="dxa"/>
            <w:tcBorders>
              <w:left w:val="single" w:sz="4" w:space="0" w:color="auto"/>
              <w:right w:val="single" w:sz="4" w:space="0" w:color="auto"/>
            </w:tcBorders>
          </w:tcPr>
          <w:p w14:paraId="2EB955ED" w14:textId="77777777" w:rsidR="00080440" w:rsidRPr="00E65370" w:rsidRDefault="00080440" w:rsidP="00080440">
            <w:pPr>
              <w:autoSpaceDE w:val="0"/>
              <w:autoSpaceDN w:val="0"/>
              <w:adjustRightInd w:val="0"/>
              <w:rPr>
                <w:sz w:val="22"/>
                <w:szCs w:val="22"/>
              </w:rPr>
            </w:pPr>
            <w:r w:rsidRPr="00E65370">
              <w:rPr>
                <w:sz w:val="22"/>
                <w:szCs w:val="22"/>
              </w:rPr>
              <w:t>а) по месту разработки и/или утверждения</w:t>
            </w:r>
          </w:p>
        </w:tc>
        <w:tc>
          <w:tcPr>
            <w:tcW w:w="1843" w:type="dxa"/>
            <w:tcBorders>
              <w:left w:val="single" w:sz="4" w:space="0" w:color="auto"/>
              <w:right w:val="single" w:sz="4" w:space="0" w:color="auto"/>
            </w:tcBorders>
          </w:tcPr>
          <w:p w14:paraId="17223B0B" w14:textId="77777777" w:rsidR="00080440" w:rsidRPr="00E65370" w:rsidRDefault="00080440" w:rsidP="00080440">
            <w:pPr>
              <w:autoSpaceDE w:val="0"/>
              <w:autoSpaceDN w:val="0"/>
              <w:adjustRightInd w:val="0"/>
              <w:rPr>
                <w:sz w:val="22"/>
                <w:szCs w:val="22"/>
              </w:rPr>
            </w:pPr>
            <w:r w:rsidRPr="00E65370">
              <w:rPr>
                <w:sz w:val="22"/>
                <w:szCs w:val="22"/>
              </w:rPr>
              <w:t>Пост.</w:t>
            </w:r>
          </w:p>
        </w:tc>
        <w:tc>
          <w:tcPr>
            <w:tcW w:w="2268" w:type="dxa"/>
            <w:tcBorders>
              <w:left w:val="single" w:sz="4" w:space="0" w:color="auto"/>
              <w:right w:val="single" w:sz="4" w:space="0" w:color="auto"/>
            </w:tcBorders>
          </w:tcPr>
          <w:p w14:paraId="173FD596" w14:textId="77777777" w:rsidR="00080440" w:rsidRPr="00E65370" w:rsidRDefault="00080440" w:rsidP="00080440">
            <w:pPr>
              <w:autoSpaceDE w:val="0"/>
              <w:autoSpaceDN w:val="0"/>
              <w:adjustRightInd w:val="0"/>
              <w:jc w:val="both"/>
              <w:rPr>
                <w:sz w:val="22"/>
                <w:szCs w:val="22"/>
              </w:rPr>
            </w:pPr>
          </w:p>
        </w:tc>
      </w:tr>
      <w:tr w:rsidR="00080440" w:rsidRPr="00E65370" w14:paraId="6842B121" w14:textId="77777777" w:rsidTr="005B527B">
        <w:tc>
          <w:tcPr>
            <w:tcW w:w="990" w:type="dxa"/>
            <w:tcBorders>
              <w:left w:val="single" w:sz="4" w:space="0" w:color="auto"/>
              <w:bottom w:val="single" w:sz="4" w:space="0" w:color="auto"/>
              <w:right w:val="single" w:sz="4" w:space="0" w:color="auto"/>
            </w:tcBorders>
          </w:tcPr>
          <w:p w14:paraId="7F53ABBE" w14:textId="77777777" w:rsidR="00080440" w:rsidRPr="00E65370" w:rsidRDefault="00080440" w:rsidP="00080440">
            <w:pPr>
              <w:autoSpaceDE w:val="0"/>
              <w:autoSpaceDN w:val="0"/>
              <w:adjustRightInd w:val="0"/>
              <w:jc w:val="both"/>
              <w:rPr>
                <w:sz w:val="22"/>
                <w:szCs w:val="22"/>
              </w:rPr>
            </w:pPr>
          </w:p>
        </w:tc>
        <w:tc>
          <w:tcPr>
            <w:tcW w:w="4817" w:type="dxa"/>
            <w:tcBorders>
              <w:left w:val="single" w:sz="4" w:space="0" w:color="auto"/>
              <w:bottom w:val="single" w:sz="4" w:space="0" w:color="auto"/>
              <w:right w:val="single" w:sz="4" w:space="0" w:color="auto"/>
            </w:tcBorders>
          </w:tcPr>
          <w:p w14:paraId="47F08173" w14:textId="77777777" w:rsidR="00080440" w:rsidRPr="00E65370" w:rsidRDefault="00080440" w:rsidP="00080440">
            <w:pPr>
              <w:autoSpaceDE w:val="0"/>
              <w:autoSpaceDN w:val="0"/>
              <w:adjustRightInd w:val="0"/>
              <w:rPr>
                <w:sz w:val="22"/>
                <w:szCs w:val="22"/>
              </w:rPr>
            </w:pPr>
            <w:r w:rsidRPr="00E65370">
              <w:rPr>
                <w:sz w:val="22"/>
                <w:szCs w:val="22"/>
              </w:rPr>
              <w:t>б) в других организациях</w:t>
            </w:r>
          </w:p>
        </w:tc>
        <w:tc>
          <w:tcPr>
            <w:tcW w:w="1843" w:type="dxa"/>
            <w:tcBorders>
              <w:left w:val="single" w:sz="4" w:space="0" w:color="auto"/>
              <w:bottom w:val="single" w:sz="4" w:space="0" w:color="auto"/>
              <w:right w:val="single" w:sz="4" w:space="0" w:color="auto"/>
            </w:tcBorders>
          </w:tcPr>
          <w:p w14:paraId="70A2E221" w14:textId="77777777" w:rsidR="00080440" w:rsidRPr="00E65370" w:rsidRDefault="00080440" w:rsidP="00080440">
            <w:pPr>
              <w:autoSpaceDE w:val="0"/>
              <w:autoSpaceDN w:val="0"/>
              <w:adjustRightInd w:val="0"/>
              <w:rPr>
                <w:sz w:val="22"/>
                <w:szCs w:val="22"/>
              </w:rPr>
            </w:pPr>
            <w:r w:rsidRPr="00E65370">
              <w:rPr>
                <w:sz w:val="22"/>
                <w:szCs w:val="22"/>
              </w:rPr>
              <w:t>До минования надобности</w:t>
            </w:r>
          </w:p>
        </w:tc>
        <w:tc>
          <w:tcPr>
            <w:tcW w:w="2268" w:type="dxa"/>
            <w:tcBorders>
              <w:left w:val="single" w:sz="4" w:space="0" w:color="auto"/>
              <w:bottom w:val="single" w:sz="4" w:space="0" w:color="auto"/>
              <w:right w:val="single" w:sz="4" w:space="0" w:color="auto"/>
            </w:tcBorders>
          </w:tcPr>
          <w:p w14:paraId="33CA0586" w14:textId="77777777" w:rsidR="00080440" w:rsidRPr="00E65370" w:rsidRDefault="00080440" w:rsidP="00080440">
            <w:pPr>
              <w:autoSpaceDE w:val="0"/>
              <w:autoSpaceDN w:val="0"/>
              <w:adjustRightInd w:val="0"/>
              <w:jc w:val="both"/>
              <w:rPr>
                <w:sz w:val="22"/>
                <w:szCs w:val="22"/>
              </w:rPr>
            </w:pPr>
          </w:p>
        </w:tc>
      </w:tr>
      <w:tr w:rsidR="00080440" w:rsidRPr="00E65370" w14:paraId="0C80C11A" w14:textId="77777777" w:rsidTr="005B527B">
        <w:tc>
          <w:tcPr>
            <w:tcW w:w="990" w:type="dxa"/>
            <w:tcBorders>
              <w:top w:val="single" w:sz="4" w:space="0" w:color="auto"/>
              <w:left w:val="single" w:sz="4" w:space="0" w:color="auto"/>
              <w:right w:val="single" w:sz="4" w:space="0" w:color="auto"/>
            </w:tcBorders>
          </w:tcPr>
          <w:p w14:paraId="61923BD1" w14:textId="77777777" w:rsidR="00080440" w:rsidRPr="00E65370" w:rsidRDefault="00080440" w:rsidP="00080440">
            <w:pPr>
              <w:autoSpaceDE w:val="0"/>
              <w:autoSpaceDN w:val="0"/>
              <w:adjustRightInd w:val="0"/>
              <w:jc w:val="center"/>
              <w:rPr>
                <w:sz w:val="22"/>
                <w:szCs w:val="22"/>
              </w:rPr>
            </w:pPr>
            <w:r w:rsidRPr="00E65370">
              <w:rPr>
                <w:sz w:val="22"/>
                <w:szCs w:val="22"/>
              </w:rPr>
              <w:t>406</w:t>
            </w:r>
          </w:p>
        </w:tc>
        <w:tc>
          <w:tcPr>
            <w:tcW w:w="4817" w:type="dxa"/>
            <w:tcBorders>
              <w:top w:val="single" w:sz="4" w:space="0" w:color="auto"/>
              <w:left w:val="single" w:sz="4" w:space="0" w:color="auto"/>
              <w:right w:val="single" w:sz="4" w:space="0" w:color="auto"/>
            </w:tcBorders>
          </w:tcPr>
          <w:p w14:paraId="420DB24B" w14:textId="77777777" w:rsidR="00080440" w:rsidRPr="00E65370" w:rsidRDefault="00080440" w:rsidP="00080440">
            <w:pPr>
              <w:autoSpaceDE w:val="0"/>
              <w:autoSpaceDN w:val="0"/>
              <w:adjustRightInd w:val="0"/>
              <w:rPr>
                <w:b/>
                <w:sz w:val="22"/>
                <w:szCs w:val="22"/>
              </w:rPr>
            </w:pPr>
            <w:r w:rsidRPr="00E65370">
              <w:rPr>
                <w:b/>
                <w:sz w:val="22"/>
                <w:szCs w:val="22"/>
              </w:rPr>
              <w:t>Программы аудита (общие):</w:t>
            </w:r>
          </w:p>
        </w:tc>
        <w:tc>
          <w:tcPr>
            <w:tcW w:w="1843" w:type="dxa"/>
            <w:tcBorders>
              <w:top w:val="single" w:sz="4" w:space="0" w:color="auto"/>
              <w:left w:val="single" w:sz="4" w:space="0" w:color="auto"/>
              <w:right w:val="single" w:sz="4" w:space="0" w:color="auto"/>
            </w:tcBorders>
          </w:tcPr>
          <w:p w14:paraId="227DBA45" w14:textId="77777777" w:rsidR="00080440" w:rsidRPr="00E65370" w:rsidRDefault="00080440" w:rsidP="00080440">
            <w:pPr>
              <w:autoSpaceDE w:val="0"/>
              <w:autoSpaceDN w:val="0"/>
              <w:adjustRightInd w:val="0"/>
              <w:jc w:val="both"/>
              <w:rPr>
                <w:sz w:val="22"/>
                <w:szCs w:val="22"/>
              </w:rPr>
            </w:pPr>
          </w:p>
        </w:tc>
        <w:tc>
          <w:tcPr>
            <w:tcW w:w="2268" w:type="dxa"/>
            <w:tcBorders>
              <w:top w:val="single" w:sz="4" w:space="0" w:color="auto"/>
              <w:left w:val="single" w:sz="4" w:space="0" w:color="auto"/>
              <w:right w:val="single" w:sz="4" w:space="0" w:color="auto"/>
            </w:tcBorders>
          </w:tcPr>
          <w:p w14:paraId="4C5FA66F" w14:textId="77777777" w:rsidR="00080440" w:rsidRPr="00E65370" w:rsidRDefault="00080440" w:rsidP="00080440">
            <w:pPr>
              <w:autoSpaceDE w:val="0"/>
              <w:autoSpaceDN w:val="0"/>
              <w:adjustRightInd w:val="0"/>
              <w:jc w:val="both"/>
              <w:rPr>
                <w:sz w:val="22"/>
                <w:szCs w:val="22"/>
              </w:rPr>
            </w:pPr>
          </w:p>
        </w:tc>
      </w:tr>
      <w:tr w:rsidR="00080440" w:rsidRPr="00E65370" w14:paraId="5F445635" w14:textId="77777777" w:rsidTr="005B527B">
        <w:tc>
          <w:tcPr>
            <w:tcW w:w="990" w:type="dxa"/>
            <w:tcBorders>
              <w:left w:val="single" w:sz="4" w:space="0" w:color="auto"/>
              <w:right w:val="single" w:sz="4" w:space="0" w:color="auto"/>
            </w:tcBorders>
          </w:tcPr>
          <w:p w14:paraId="427CAE94" w14:textId="77777777" w:rsidR="00080440" w:rsidRPr="00E65370" w:rsidRDefault="00080440" w:rsidP="00080440">
            <w:pPr>
              <w:autoSpaceDE w:val="0"/>
              <w:autoSpaceDN w:val="0"/>
              <w:adjustRightInd w:val="0"/>
              <w:jc w:val="both"/>
              <w:rPr>
                <w:sz w:val="22"/>
                <w:szCs w:val="22"/>
              </w:rPr>
            </w:pPr>
          </w:p>
        </w:tc>
        <w:tc>
          <w:tcPr>
            <w:tcW w:w="4817" w:type="dxa"/>
            <w:tcBorders>
              <w:left w:val="single" w:sz="4" w:space="0" w:color="auto"/>
              <w:right w:val="single" w:sz="4" w:space="0" w:color="auto"/>
            </w:tcBorders>
          </w:tcPr>
          <w:p w14:paraId="44423D15" w14:textId="77777777" w:rsidR="00080440" w:rsidRPr="00E65370" w:rsidRDefault="00080440" w:rsidP="00080440">
            <w:pPr>
              <w:autoSpaceDE w:val="0"/>
              <w:autoSpaceDN w:val="0"/>
              <w:adjustRightInd w:val="0"/>
              <w:rPr>
                <w:sz w:val="22"/>
                <w:szCs w:val="22"/>
              </w:rPr>
            </w:pPr>
            <w:r w:rsidRPr="00E65370">
              <w:rPr>
                <w:sz w:val="22"/>
                <w:szCs w:val="22"/>
              </w:rPr>
              <w:t>а) по месту разработки и/или утверждения</w:t>
            </w:r>
          </w:p>
        </w:tc>
        <w:tc>
          <w:tcPr>
            <w:tcW w:w="1843" w:type="dxa"/>
            <w:tcBorders>
              <w:left w:val="single" w:sz="4" w:space="0" w:color="auto"/>
              <w:right w:val="single" w:sz="4" w:space="0" w:color="auto"/>
            </w:tcBorders>
          </w:tcPr>
          <w:p w14:paraId="3C2E15E3" w14:textId="77777777" w:rsidR="00080440" w:rsidRPr="00E65370" w:rsidRDefault="00080440" w:rsidP="00080440">
            <w:pPr>
              <w:autoSpaceDE w:val="0"/>
              <w:autoSpaceDN w:val="0"/>
              <w:adjustRightInd w:val="0"/>
              <w:rPr>
                <w:sz w:val="22"/>
                <w:szCs w:val="22"/>
              </w:rPr>
            </w:pPr>
            <w:r w:rsidRPr="00E65370">
              <w:rPr>
                <w:sz w:val="22"/>
                <w:szCs w:val="22"/>
              </w:rPr>
              <w:t>Пост.</w:t>
            </w:r>
          </w:p>
        </w:tc>
        <w:tc>
          <w:tcPr>
            <w:tcW w:w="2268" w:type="dxa"/>
            <w:tcBorders>
              <w:left w:val="single" w:sz="4" w:space="0" w:color="auto"/>
              <w:right w:val="single" w:sz="4" w:space="0" w:color="auto"/>
            </w:tcBorders>
          </w:tcPr>
          <w:p w14:paraId="4F0A7556" w14:textId="77777777" w:rsidR="00080440" w:rsidRPr="00E65370" w:rsidRDefault="00080440" w:rsidP="00080440">
            <w:pPr>
              <w:autoSpaceDE w:val="0"/>
              <w:autoSpaceDN w:val="0"/>
              <w:adjustRightInd w:val="0"/>
              <w:jc w:val="both"/>
              <w:rPr>
                <w:sz w:val="22"/>
                <w:szCs w:val="22"/>
              </w:rPr>
            </w:pPr>
          </w:p>
        </w:tc>
      </w:tr>
      <w:tr w:rsidR="00080440" w:rsidRPr="00E65370" w14:paraId="450CC210" w14:textId="77777777" w:rsidTr="005B527B">
        <w:tc>
          <w:tcPr>
            <w:tcW w:w="990" w:type="dxa"/>
            <w:tcBorders>
              <w:left w:val="single" w:sz="4" w:space="0" w:color="auto"/>
              <w:bottom w:val="single" w:sz="4" w:space="0" w:color="auto"/>
              <w:right w:val="single" w:sz="4" w:space="0" w:color="auto"/>
            </w:tcBorders>
          </w:tcPr>
          <w:p w14:paraId="5BAC13A8" w14:textId="77777777" w:rsidR="00080440" w:rsidRPr="00E65370" w:rsidRDefault="00080440" w:rsidP="00080440">
            <w:pPr>
              <w:autoSpaceDE w:val="0"/>
              <w:autoSpaceDN w:val="0"/>
              <w:adjustRightInd w:val="0"/>
              <w:jc w:val="both"/>
              <w:rPr>
                <w:sz w:val="22"/>
                <w:szCs w:val="22"/>
              </w:rPr>
            </w:pPr>
          </w:p>
        </w:tc>
        <w:tc>
          <w:tcPr>
            <w:tcW w:w="4817" w:type="dxa"/>
            <w:tcBorders>
              <w:left w:val="single" w:sz="4" w:space="0" w:color="auto"/>
              <w:bottom w:val="single" w:sz="4" w:space="0" w:color="auto"/>
              <w:right w:val="single" w:sz="4" w:space="0" w:color="auto"/>
            </w:tcBorders>
          </w:tcPr>
          <w:p w14:paraId="737AFD27" w14:textId="77777777" w:rsidR="00080440" w:rsidRPr="00E65370" w:rsidRDefault="00080440" w:rsidP="00080440">
            <w:pPr>
              <w:autoSpaceDE w:val="0"/>
              <w:autoSpaceDN w:val="0"/>
              <w:adjustRightInd w:val="0"/>
              <w:rPr>
                <w:sz w:val="22"/>
                <w:szCs w:val="22"/>
              </w:rPr>
            </w:pPr>
            <w:r w:rsidRPr="00E65370">
              <w:rPr>
                <w:sz w:val="22"/>
                <w:szCs w:val="22"/>
              </w:rPr>
              <w:t>б) в других организациях</w:t>
            </w:r>
          </w:p>
        </w:tc>
        <w:tc>
          <w:tcPr>
            <w:tcW w:w="1843" w:type="dxa"/>
            <w:tcBorders>
              <w:left w:val="single" w:sz="4" w:space="0" w:color="auto"/>
              <w:bottom w:val="single" w:sz="4" w:space="0" w:color="auto"/>
              <w:right w:val="single" w:sz="4" w:space="0" w:color="auto"/>
            </w:tcBorders>
          </w:tcPr>
          <w:p w14:paraId="504EBB4D" w14:textId="77777777" w:rsidR="00080440" w:rsidRPr="00E65370" w:rsidRDefault="00080440" w:rsidP="00080440">
            <w:pPr>
              <w:autoSpaceDE w:val="0"/>
              <w:autoSpaceDN w:val="0"/>
              <w:adjustRightInd w:val="0"/>
              <w:rPr>
                <w:sz w:val="22"/>
                <w:szCs w:val="22"/>
              </w:rPr>
            </w:pPr>
            <w:r w:rsidRPr="00E65370">
              <w:rPr>
                <w:sz w:val="22"/>
                <w:szCs w:val="22"/>
              </w:rPr>
              <w:t>До минования надобности</w:t>
            </w:r>
          </w:p>
        </w:tc>
        <w:tc>
          <w:tcPr>
            <w:tcW w:w="2268" w:type="dxa"/>
            <w:tcBorders>
              <w:left w:val="single" w:sz="4" w:space="0" w:color="auto"/>
              <w:bottom w:val="single" w:sz="4" w:space="0" w:color="auto"/>
              <w:right w:val="single" w:sz="4" w:space="0" w:color="auto"/>
            </w:tcBorders>
          </w:tcPr>
          <w:p w14:paraId="777455CE" w14:textId="77777777" w:rsidR="00080440" w:rsidRPr="00E65370" w:rsidRDefault="00080440" w:rsidP="00080440">
            <w:pPr>
              <w:autoSpaceDE w:val="0"/>
              <w:autoSpaceDN w:val="0"/>
              <w:adjustRightInd w:val="0"/>
              <w:jc w:val="both"/>
              <w:rPr>
                <w:sz w:val="22"/>
                <w:szCs w:val="22"/>
              </w:rPr>
            </w:pPr>
          </w:p>
        </w:tc>
      </w:tr>
      <w:tr w:rsidR="00080440" w:rsidRPr="00E65370" w14:paraId="6807D379" w14:textId="77777777" w:rsidTr="005B527B">
        <w:tc>
          <w:tcPr>
            <w:tcW w:w="990" w:type="dxa"/>
            <w:tcBorders>
              <w:top w:val="single" w:sz="4" w:space="0" w:color="auto"/>
              <w:left w:val="single" w:sz="4" w:space="0" w:color="auto"/>
              <w:bottom w:val="single" w:sz="4" w:space="0" w:color="auto"/>
              <w:right w:val="single" w:sz="4" w:space="0" w:color="auto"/>
            </w:tcBorders>
          </w:tcPr>
          <w:p w14:paraId="157DADF7" w14:textId="77777777" w:rsidR="00080440" w:rsidRPr="00E65370" w:rsidRDefault="00080440" w:rsidP="00080440">
            <w:pPr>
              <w:autoSpaceDE w:val="0"/>
              <w:autoSpaceDN w:val="0"/>
              <w:adjustRightInd w:val="0"/>
              <w:jc w:val="center"/>
              <w:rPr>
                <w:sz w:val="22"/>
                <w:szCs w:val="22"/>
              </w:rPr>
            </w:pPr>
            <w:r w:rsidRPr="00E65370">
              <w:rPr>
                <w:sz w:val="22"/>
                <w:szCs w:val="22"/>
              </w:rPr>
              <w:t>407</w:t>
            </w:r>
          </w:p>
        </w:tc>
        <w:tc>
          <w:tcPr>
            <w:tcW w:w="4817" w:type="dxa"/>
            <w:tcBorders>
              <w:top w:val="single" w:sz="4" w:space="0" w:color="auto"/>
              <w:left w:val="single" w:sz="4" w:space="0" w:color="auto"/>
              <w:bottom w:val="single" w:sz="4" w:space="0" w:color="auto"/>
              <w:right w:val="single" w:sz="4" w:space="0" w:color="auto"/>
            </w:tcBorders>
          </w:tcPr>
          <w:p w14:paraId="1187A185" w14:textId="77777777" w:rsidR="00080440" w:rsidRPr="00E65370" w:rsidRDefault="00080440" w:rsidP="00080440">
            <w:pPr>
              <w:autoSpaceDE w:val="0"/>
              <w:autoSpaceDN w:val="0"/>
              <w:adjustRightInd w:val="0"/>
              <w:rPr>
                <w:b/>
                <w:sz w:val="22"/>
                <w:szCs w:val="22"/>
              </w:rPr>
            </w:pPr>
            <w:r w:rsidRPr="00E65370">
              <w:rPr>
                <w:b/>
                <w:sz w:val="22"/>
                <w:szCs w:val="22"/>
              </w:rPr>
              <w:t>Договоры оказания аудиторских услуг</w:t>
            </w:r>
          </w:p>
        </w:tc>
        <w:tc>
          <w:tcPr>
            <w:tcW w:w="1843" w:type="dxa"/>
            <w:tcBorders>
              <w:top w:val="single" w:sz="4" w:space="0" w:color="auto"/>
              <w:left w:val="single" w:sz="4" w:space="0" w:color="auto"/>
              <w:bottom w:val="single" w:sz="4" w:space="0" w:color="auto"/>
              <w:right w:val="single" w:sz="4" w:space="0" w:color="auto"/>
            </w:tcBorders>
          </w:tcPr>
          <w:p w14:paraId="1B4C150E" w14:textId="77777777" w:rsidR="00080440" w:rsidRPr="00E65370" w:rsidRDefault="00080440" w:rsidP="00080440">
            <w:pPr>
              <w:autoSpaceDE w:val="0"/>
              <w:autoSpaceDN w:val="0"/>
              <w:adjustRightInd w:val="0"/>
              <w:rPr>
                <w:sz w:val="22"/>
                <w:szCs w:val="22"/>
              </w:rPr>
            </w:pPr>
            <w:r w:rsidRPr="00E65370">
              <w:rPr>
                <w:sz w:val="22"/>
                <w:szCs w:val="22"/>
              </w:rPr>
              <w:t>5 л. (1)</w:t>
            </w:r>
          </w:p>
        </w:tc>
        <w:tc>
          <w:tcPr>
            <w:tcW w:w="2268" w:type="dxa"/>
            <w:tcBorders>
              <w:top w:val="single" w:sz="4" w:space="0" w:color="auto"/>
              <w:left w:val="single" w:sz="4" w:space="0" w:color="auto"/>
              <w:bottom w:val="single" w:sz="4" w:space="0" w:color="auto"/>
              <w:right w:val="single" w:sz="4" w:space="0" w:color="auto"/>
            </w:tcBorders>
          </w:tcPr>
          <w:p w14:paraId="50D0743B" w14:textId="77777777" w:rsidR="00080440" w:rsidRPr="00E65370" w:rsidRDefault="00080440" w:rsidP="00080440">
            <w:pPr>
              <w:autoSpaceDE w:val="0"/>
              <w:autoSpaceDN w:val="0"/>
              <w:adjustRightInd w:val="0"/>
              <w:rPr>
                <w:sz w:val="22"/>
                <w:szCs w:val="22"/>
              </w:rPr>
            </w:pPr>
            <w:r w:rsidRPr="00E65370">
              <w:rPr>
                <w:sz w:val="22"/>
                <w:szCs w:val="22"/>
              </w:rPr>
              <w:t>(1) После истечения срока действия договора</w:t>
            </w:r>
          </w:p>
        </w:tc>
      </w:tr>
      <w:tr w:rsidR="00080440" w:rsidRPr="00E65370" w14:paraId="5F39890E" w14:textId="77777777" w:rsidTr="005B527B">
        <w:tc>
          <w:tcPr>
            <w:tcW w:w="990" w:type="dxa"/>
            <w:tcBorders>
              <w:top w:val="single" w:sz="4" w:space="0" w:color="auto"/>
              <w:left w:val="single" w:sz="4" w:space="0" w:color="auto"/>
              <w:bottom w:val="single" w:sz="4" w:space="0" w:color="auto"/>
              <w:right w:val="single" w:sz="4" w:space="0" w:color="auto"/>
            </w:tcBorders>
          </w:tcPr>
          <w:p w14:paraId="0F48B335" w14:textId="77777777" w:rsidR="00080440" w:rsidRPr="00E65370" w:rsidRDefault="00080440" w:rsidP="00080440">
            <w:pPr>
              <w:autoSpaceDE w:val="0"/>
              <w:autoSpaceDN w:val="0"/>
              <w:adjustRightInd w:val="0"/>
              <w:jc w:val="center"/>
              <w:rPr>
                <w:sz w:val="22"/>
                <w:szCs w:val="22"/>
              </w:rPr>
            </w:pPr>
            <w:r w:rsidRPr="00E65370">
              <w:rPr>
                <w:sz w:val="22"/>
                <w:szCs w:val="22"/>
              </w:rPr>
              <w:t>408</w:t>
            </w:r>
          </w:p>
        </w:tc>
        <w:tc>
          <w:tcPr>
            <w:tcW w:w="4817" w:type="dxa"/>
            <w:tcBorders>
              <w:top w:val="single" w:sz="4" w:space="0" w:color="auto"/>
              <w:left w:val="single" w:sz="4" w:space="0" w:color="auto"/>
              <w:bottom w:val="single" w:sz="4" w:space="0" w:color="auto"/>
              <w:right w:val="single" w:sz="4" w:space="0" w:color="auto"/>
            </w:tcBorders>
          </w:tcPr>
          <w:p w14:paraId="730FC175" w14:textId="77777777" w:rsidR="00080440" w:rsidRPr="00E65370" w:rsidRDefault="00080440" w:rsidP="00080440">
            <w:pPr>
              <w:autoSpaceDE w:val="0"/>
              <w:autoSpaceDN w:val="0"/>
              <w:adjustRightInd w:val="0"/>
              <w:rPr>
                <w:b/>
                <w:sz w:val="22"/>
                <w:szCs w:val="22"/>
              </w:rPr>
            </w:pPr>
            <w:r w:rsidRPr="00E65370">
              <w:rPr>
                <w:b/>
                <w:sz w:val="22"/>
                <w:szCs w:val="22"/>
              </w:rPr>
              <w:t>Аудиторские заключения по бухгалтерской (финансовой) отчетности</w:t>
            </w:r>
          </w:p>
        </w:tc>
        <w:tc>
          <w:tcPr>
            <w:tcW w:w="1843" w:type="dxa"/>
            <w:tcBorders>
              <w:top w:val="single" w:sz="4" w:space="0" w:color="auto"/>
              <w:left w:val="single" w:sz="4" w:space="0" w:color="auto"/>
              <w:bottom w:val="single" w:sz="4" w:space="0" w:color="auto"/>
              <w:right w:val="single" w:sz="4" w:space="0" w:color="auto"/>
            </w:tcBorders>
          </w:tcPr>
          <w:p w14:paraId="3E7D911A" w14:textId="77777777" w:rsidR="00080440" w:rsidRPr="00E65370" w:rsidRDefault="00080440" w:rsidP="00080440">
            <w:pPr>
              <w:autoSpaceDE w:val="0"/>
              <w:autoSpaceDN w:val="0"/>
              <w:adjustRightInd w:val="0"/>
              <w:rPr>
                <w:sz w:val="22"/>
                <w:szCs w:val="22"/>
              </w:rPr>
            </w:pPr>
            <w:r w:rsidRPr="00E65370">
              <w:rPr>
                <w:sz w:val="22"/>
                <w:szCs w:val="22"/>
              </w:rPr>
              <w:t>5 л. (1) ЭПК</w:t>
            </w:r>
          </w:p>
        </w:tc>
        <w:tc>
          <w:tcPr>
            <w:tcW w:w="2268" w:type="dxa"/>
            <w:tcBorders>
              <w:top w:val="single" w:sz="4" w:space="0" w:color="auto"/>
              <w:left w:val="single" w:sz="4" w:space="0" w:color="auto"/>
              <w:bottom w:val="single" w:sz="4" w:space="0" w:color="auto"/>
              <w:right w:val="single" w:sz="4" w:space="0" w:color="auto"/>
            </w:tcBorders>
          </w:tcPr>
          <w:p w14:paraId="589C08C2" w14:textId="77777777" w:rsidR="00080440" w:rsidRDefault="00080440" w:rsidP="00080440">
            <w:pPr>
              <w:autoSpaceDE w:val="0"/>
              <w:autoSpaceDN w:val="0"/>
              <w:adjustRightInd w:val="0"/>
              <w:rPr>
                <w:sz w:val="22"/>
                <w:szCs w:val="22"/>
              </w:rPr>
            </w:pPr>
            <w:r w:rsidRPr="00E65370">
              <w:rPr>
                <w:sz w:val="22"/>
                <w:szCs w:val="22"/>
              </w:rPr>
              <w:t xml:space="preserve">(1) При условии проведения проверки (ревизии). </w:t>
            </w:r>
          </w:p>
          <w:p w14:paraId="723465FD" w14:textId="7508CFE4" w:rsidR="00080440" w:rsidRPr="00071182" w:rsidRDefault="00080440" w:rsidP="00080440">
            <w:pPr>
              <w:autoSpaceDE w:val="0"/>
              <w:autoSpaceDN w:val="0"/>
              <w:adjustRightInd w:val="0"/>
              <w:rPr>
                <w:sz w:val="22"/>
                <w:szCs w:val="22"/>
                <w:u w:val="single"/>
              </w:rPr>
            </w:pPr>
            <w:r w:rsidRPr="00071182">
              <w:rPr>
                <w:sz w:val="22"/>
                <w:szCs w:val="22"/>
                <w:u w:val="single"/>
              </w:rPr>
              <w:t>Для годовой бухгалтерской (финансовой) отчетности - пост.</w:t>
            </w:r>
          </w:p>
        </w:tc>
      </w:tr>
    </w:tbl>
    <w:p w14:paraId="2A3EE6C7" w14:textId="678CF948" w:rsidR="00E65370" w:rsidRDefault="00E65370" w:rsidP="00593A1E">
      <w:pPr>
        <w:ind w:firstLine="709"/>
        <w:jc w:val="both"/>
        <w:rPr>
          <w:rStyle w:val="blk"/>
          <w:color w:val="FF0000"/>
          <w:sz w:val="26"/>
          <w:szCs w:val="26"/>
        </w:rPr>
      </w:pPr>
    </w:p>
    <w:p w14:paraId="65C19039" w14:textId="77777777" w:rsidR="00593A1E" w:rsidRPr="00D1648F" w:rsidRDefault="00593A1E" w:rsidP="00593A1E">
      <w:pPr>
        <w:ind w:firstLine="709"/>
        <w:jc w:val="both"/>
        <w:rPr>
          <w:rStyle w:val="blk"/>
          <w:sz w:val="26"/>
          <w:szCs w:val="26"/>
        </w:rPr>
      </w:pPr>
      <w:r w:rsidRPr="00D1648F">
        <w:rPr>
          <w:rStyle w:val="blk"/>
          <w:sz w:val="26"/>
          <w:szCs w:val="26"/>
        </w:rPr>
        <w:lastRenderedPageBreak/>
        <w:t xml:space="preserve">Порядок отбора документов, подлежащих уничтожению, а также порядок документального оформления уничтожения документов в части обеспечения сохранности, описания, учета и использования документов Архивного фонда Российской Федерации, отнесенных к государственной собственности, регламентирован нормативными правовыми актами, регулирующими деятельность в сфере архивного дела. </w:t>
      </w:r>
      <w:r w:rsidRPr="00D1648F">
        <w:rPr>
          <w:rStyle w:val="blk"/>
          <w:sz w:val="26"/>
          <w:szCs w:val="26"/>
        </w:rPr>
        <w:lastRenderedPageBreak/>
        <w:t>Негосударственные организации могут руководствоваться установленными правилами при организации и обеспечении работы своих архивов.</w:t>
      </w:r>
    </w:p>
    <w:p w14:paraId="4DC6D4C4" w14:textId="3C3182DD" w:rsidR="00593A1E" w:rsidRPr="00D1648F" w:rsidRDefault="00593A1E" w:rsidP="00593A1E">
      <w:pPr>
        <w:ind w:firstLine="709"/>
        <w:jc w:val="both"/>
        <w:rPr>
          <w:rStyle w:val="blk"/>
          <w:sz w:val="26"/>
          <w:szCs w:val="26"/>
        </w:rPr>
      </w:pPr>
      <w:r w:rsidRPr="00D1648F">
        <w:rPr>
          <w:rStyle w:val="blk"/>
          <w:sz w:val="26"/>
          <w:szCs w:val="26"/>
        </w:rPr>
        <w:t xml:space="preserve">Процедуру уничтожения документов нужно обязательно оформить соответствующим образом. При этом можно руководствоваться Основными правилами работы архивов организаций (одобрены решением Коллегии </w:t>
      </w:r>
      <w:proofErr w:type="spellStart"/>
      <w:r w:rsidRPr="00D1648F">
        <w:rPr>
          <w:rStyle w:val="blk"/>
          <w:sz w:val="26"/>
          <w:szCs w:val="26"/>
        </w:rPr>
        <w:t>Росархива</w:t>
      </w:r>
      <w:proofErr w:type="spellEnd"/>
      <w:r w:rsidRPr="00D1648F">
        <w:rPr>
          <w:rStyle w:val="blk"/>
          <w:sz w:val="26"/>
          <w:szCs w:val="26"/>
        </w:rPr>
        <w:t xml:space="preserve"> от 06.02.2002).</w:t>
      </w:r>
    </w:p>
    <w:p w14:paraId="5FDD38EB" w14:textId="1A9E4D9F" w:rsidR="00593A1E" w:rsidRPr="00D1648F" w:rsidRDefault="00593A1E" w:rsidP="00593A1E">
      <w:pPr>
        <w:ind w:firstLine="709"/>
        <w:jc w:val="both"/>
        <w:rPr>
          <w:rStyle w:val="blk"/>
          <w:sz w:val="26"/>
          <w:szCs w:val="26"/>
        </w:rPr>
      </w:pPr>
      <w:r w:rsidRPr="00D1648F">
        <w:rPr>
          <w:rStyle w:val="blk"/>
          <w:sz w:val="26"/>
          <w:szCs w:val="26"/>
        </w:rPr>
        <w:t xml:space="preserve">В начале года необходимо создать постоянно действующую экспертную комиссию. Образец положения об экспертной комиссии приведен в приложении к Приказу </w:t>
      </w:r>
      <w:proofErr w:type="spellStart"/>
      <w:r w:rsidRPr="00D1648F">
        <w:rPr>
          <w:rStyle w:val="blk"/>
          <w:sz w:val="26"/>
          <w:szCs w:val="26"/>
        </w:rPr>
        <w:t>Росархива</w:t>
      </w:r>
      <w:proofErr w:type="spellEnd"/>
      <w:r w:rsidRPr="00D1648F">
        <w:rPr>
          <w:rStyle w:val="blk"/>
          <w:sz w:val="26"/>
          <w:szCs w:val="26"/>
        </w:rPr>
        <w:t xml:space="preserve"> от 19 января 1995 г. N 2 «Об утверждении Примерного положения о постоянно действующей экспертной комиссии учреждения, организации, предприятия». </w:t>
      </w:r>
    </w:p>
    <w:p w14:paraId="44DD87C8" w14:textId="5F35CD5D" w:rsidR="00593A1E" w:rsidRPr="00D1648F" w:rsidRDefault="00593A1E" w:rsidP="00593A1E">
      <w:pPr>
        <w:ind w:firstLine="709"/>
        <w:jc w:val="both"/>
        <w:rPr>
          <w:rStyle w:val="blk"/>
          <w:sz w:val="26"/>
          <w:szCs w:val="26"/>
        </w:rPr>
      </w:pPr>
      <w:r w:rsidRPr="00D1648F">
        <w:rPr>
          <w:rStyle w:val="blk"/>
          <w:sz w:val="26"/>
          <w:szCs w:val="26"/>
        </w:rPr>
        <w:t>Экспертная комиссия проводит инвентаризацию документов с истекшим сроком хранения и представляет на утверждение руководителю организации акты о выделении к уничтожению документов с истекшими сроками хранения.</w:t>
      </w:r>
    </w:p>
    <w:p w14:paraId="01AED987" w14:textId="5A6C645F" w:rsidR="00593A1E" w:rsidRPr="00D1648F" w:rsidRDefault="00593A1E" w:rsidP="00593A1E">
      <w:pPr>
        <w:ind w:firstLine="709"/>
        <w:jc w:val="both"/>
        <w:rPr>
          <w:rStyle w:val="blk"/>
          <w:sz w:val="26"/>
          <w:szCs w:val="26"/>
        </w:rPr>
      </w:pPr>
      <w:r w:rsidRPr="00D1648F">
        <w:rPr>
          <w:rStyle w:val="blk"/>
          <w:sz w:val="26"/>
          <w:szCs w:val="26"/>
        </w:rPr>
        <w:t>Документы, предназначенные для уничтожения, передаются на переработку (утилизацию), что оформляется приемосдаточной накладной. Экспертная комиссия должна зафиксировать факт уничтожения всех бумаг и составить еще один акт - об уничтожении документов. Этот акт также утверждается руководителем организации.</w:t>
      </w:r>
    </w:p>
    <w:p w14:paraId="2BDBC9AA" w14:textId="77777777" w:rsidR="00593A1E" w:rsidRPr="00D1648F" w:rsidRDefault="00593A1E" w:rsidP="00593A1E">
      <w:pPr>
        <w:ind w:firstLine="709"/>
        <w:jc w:val="both"/>
        <w:rPr>
          <w:rStyle w:val="blk"/>
          <w:sz w:val="26"/>
          <w:szCs w:val="26"/>
        </w:rPr>
      </w:pPr>
      <w:r w:rsidRPr="00D1648F">
        <w:rPr>
          <w:rStyle w:val="blk"/>
          <w:sz w:val="26"/>
          <w:szCs w:val="26"/>
        </w:rPr>
        <w:t>Все документы, связанные с уничтожением документов в связи с истечением сроков хранения, организация должна сохранить в архиве.</w:t>
      </w:r>
    </w:p>
    <w:p w14:paraId="52A37698" w14:textId="52763BB7" w:rsidR="00EF3825" w:rsidRPr="00593A1E" w:rsidRDefault="00593A1E" w:rsidP="00593A1E">
      <w:pPr>
        <w:ind w:firstLine="709"/>
        <w:jc w:val="both"/>
        <w:rPr>
          <w:rStyle w:val="blk"/>
          <w:sz w:val="26"/>
          <w:szCs w:val="26"/>
          <w:highlight w:val="green"/>
        </w:rPr>
      </w:pPr>
      <w:r w:rsidRPr="00593A1E">
        <w:rPr>
          <w:rStyle w:val="blk"/>
          <w:sz w:val="26"/>
          <w:szCs w:val="26"/>
        </w:rPr>
        <w:tab/>
      </w:r>
      <w:r w:rsidRPr="00593A1E">
        <w:rPr>
          <w:rStyle w:val="blk"/>
          <w:sz w:val="26"/>
          <w:szCs w:val="26"/>
        </w:rPr>
        <w:tab/>
      </w:r>
      <w:r w:rsidRPr="00593A1E">
        <w:rPr>
          <w:rStyle w:val="blk"/>
          <w:sz w:val="26"/>
          <w:szCs w:val="26"/>
        </w:rPr>
        <w:tab/>
      </w:r>
      <w:r w:rsidRPr="00593A1E">
        <w:rPr>
          <w:rStyle w:val="blk"/>
          <w:sz w:val="26"/>
          <w:szCs w:val="26"/>
        </w:rPr>
        <w:tab/>
      </w:r>
    </w:p>
    <w:p w14:paraId="64098AE5" w14:textId="08021BCA" w:rsidR="00EF3825" w:rsidRPr="00EF3825" w:rsidRDefault="00EF3825" w:rsidP="00EF3825">
      <w:pPr>
        <w:ind w:firstLine="567"/>
        <w:jc w:val="both"/>
        <w:rPr>
          <w:sz w:val="26"/>
          <w:szCs w:val="26"/>
        </w:rPr>
      </w:pPr>
      <w:r w:rsidRPr="00593A1E">
        <w:rPr>
          <w:sz w:val="26"/>
          <w:szCs w:val="26"/>
        </w:rPr>
        <w:t xml:space="preserve">Обращаем внимание, что настоящее разъяснение носит исключительно информационный характер и было подготовлено только для целей содействия </w:t>
      </w:r>
      <w:r w:rsidR="009F36FA">
        <w:rPr>
          <w:sz w:val="26"/>
          <w:szCs w:val="26"/>
        </w:rPr>
        <w:t>членам СРО ААС</w:t>
      </w:r>
      <w:r w:rsidRPr="00593A1E">
        <w:rPr>
          <w:sz w:val="26"/>
          <w:szCs w:val="26"/>
        </w:rPr>
        <w:t xml:space="preserve"> в</w:t>
      </w:r>
      <w:r w:rsidRPr="00EF3825">
        <w:rPr>
          <w:sz w:val="26"/>
          <w:szCs w:val="26"/>
        </w:rPr>
        <w:t xml:space="preserve"> применении положений законодательства, регулирующего аудиторскую деятельность в РФ.  </w:t>
      </w:r>
    </w:p>
    <w:p w14:paraId="0AC31BA2" w14:textId="77777777" w:rsidR="009F36FA" w:rsidRDefault="00EF3825" w:rsidP="00EF3825">
      <w:pPr>
        <w:ind w:firstLine="567"/>
        <w:jc w:val="both"/>
        <w:rPr>
          <w:sz w:val="26"/>
          <w:szCs w:val="26"/>
        </w:rPr>
      </w:pPr>
      <w:r w:rsidRPr="00EF3825">
        <w:rPr>
          <w:sz w:val="26"/>
          <w:szCs w:val="26"/>
        </w:rPr>
        <w:t>Позиция СРО ААС не может рассматриваться как официальное толкование требований нормативных правовых актов, заменяющее собственное профессиональное суждение</w:t>
      </w:r>
      <w:r w:rsidR="009F36FA">
        <w:rPr>
          <w:sz w:val="26"/>
          <w:szCs w:val="26"/>
        </w:rPr>
        <w:t xml:space="preserve"> аудитора.</w:t>
      </w:r>
    </w:p>
    <w:p w14:paraId="27B3446C" w14:textId="77777777" w:rsidR="009F36FA" w:rsidRDefault="009F36FA" w:rsidP="00EF3825">
      <w:pPr>
        <w:ind w:firstLine="567"/>
        <w:jc w:val="both"/>
        <w:rPr>
          <w:sz w:val="26"/>
          <w:szCs w:val="26"/>
        </w:rPr>
      </w:pPr>
    </w:p>
    <w:p w14:paraId="2354A1BA" w14:textId="00CD22C8" w:rsidR="009F36FA" w:rsidRDefault="009F36FA" w:rsidP="00EF3825">
      <w:pPr>
        <w:ind w:firstLine="567"/>
        <w:jc w:val="both"/>
        <w:rPr>
          <w:sz w:val="26"/>
          <w:szCs w:val="26"/>
        </w:rPr>
      </w:pPr>
      <w:r>
        <w:rPr>
          <w:sz w:val="26"/>
          <w:szCs w:val="26"/>
        </w:rPr>
        <w:t>10.08.2017</w:t>
      </w:r>
      <w:bookmarkStart w:id="0" w:name="_GoBack"/>
      <w:bookmarkEnd w:id="0"/>
    </w:p>
    <w:sectPr w:rsidR="009F36FA" w:rsidSect="005B527B">
      <w:footerReference w:type="default" r:id="rId10"/>
      <w:pgSz w:w="11671" w:h="16838"/>
      <w:pgMar w:top="851" w:right="614"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CFF98" w14:textId="77777777" w:rsidR="006254E3" w:rsidRDefault="006254E3" w:rsidP="00C06BD8">
      <w:r>
        <w:separator/>
      </w:r>
    </w:p>
  </w:endnote>
  <w:endnote w:type="continuationSeparator" w:id="0">
    <w:p w14:paraId="38ADEC61" w14:textId="77777777" w:rsidR="006254E3" w:rsidRDefault="006254E3" w:rsidP="00C0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EDF1" w14:textId="4CBF2672" w:rsidR="00C06BD8" w:rsidRDefault="00C06BD8">
    <w:pPr>
      <w:pStyle w:val="a8"/>
      <w:jc w:val="right"/>
    </w:pPr>
    <w:r>
      <w:fldChar w:fldCharType="begin"/>
    </w:r>
    <w:r>
      <w:instrText>PAGE   \* MERGEFORMAT</w:instrText>
    </w:r>
    <w:r>
      <w:fldChar w:fldCharType="separate"/>
    </w:r>
    <w:r w:rsidR="00804618">
      <w:rPr>
        <w:noProof/>
      </w:rPr>
      <w:t>4</w:t>
    </w:r>
    <w:r>
      <w:fldChar w:fldCharType="end"/>
    </w:r>
  </w:p>
  <w:p w14:paraId="48F62991" w14:textId="77777777" w:rsidR="00C06BD8" w:rsidRDefault="00C06B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7F1CA" w14:textId="77777777" w:rsidR="006254E3" w:rsidRDefault="006254E3" w:rsidP="00C06BD8">
      <w:r>
        <w:separator/>
      </w:r>
    </w:p>
  </w:footnote>
  <w:footnote w:type="continuationSeparator" w:id="0">
    <w:p w14:paraId="05A10613" w14:textId="77777777" w:rsidR="006254E3" w:rsidRDefault="006254E3" w:rsidP="00C06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A1285"/>
    <w:multiLevelType w:val="hybridMultilevel"/>
    <w:tmpl w:val="625CE6D4"/>
    <w:lvl w:ilvl="0" w:tplc="714C0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335858"/>
    <w:multiLevelType w:val="hybridMultilevel"/>
    <w:tmpl w:val="33883438"/>
    <w:lvl w:ilvl="0" w:tplc="1B142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9A674D"/>
    <w:multiLevelType w:val="hybridMultilevel"/>
    <w:tmpl w:val="A2A07832"/>
    <w:lvl w:ilvl="0" w:tplc="D1C03F1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9A01B5"/>
    <w:multiLevelType w:val="hybridMultilevel"/>
    <w:tmpl w:val="227E9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5"/>
    <w:rsid w:val="00010689"/>
    <w:rsid w:val="00020FB8"/>
    <w:rsid w:val="00036685"/>
    <w:rsid w:val="000460F7"/>
    <w:rsid w:val="00071182"/>
    <w:rsid w:val="00076CA4"/>
    <w:rsid w:val="00080440"/>
    <w:rsid w:val="000844BC"/>
    <w:rsid w:val="000868B6"/>
    <w:rsid w:val="000A2158"/>
    <w:rsid w:val="000A6502"/>
    <w:rsid w:val="0011084F"/>
    <w:rsid w:val="00110B85"/>
    <w:rsid w:val="001136A8"/>
    <w:rsid w:val="00117139"/>
    <w:rsid w:val="00133344"/>
    <w:rsid w:val="0013738B"/>
    <w:rsid w:val="001445FA"/>
    <w:rsid w:val="00170C83"/>
    <w:rsid w:val="001A6FB5"/>
    <w:rsid w:val="001B1C07"/>
    <w:rsid w:val="001B75B9"/>
    <w:rsid w:val="001D00DB"/>
    <w:rsid w:val="001D09D5"/>
    <w:rsid w:val="001F242A"/>
    <w:rsid w:val="002115B5"/>
    <w:rsid w:val="00211641"/>
    <w:rsid w:val="00223A9A"/>
    <w:rsid w:val="00225339"/>
    <w:rsid w:val="00226B7C"/>
    <w:rsid w:val="00234074"/>
    <w:rsid w:val="00235C95"/>
    <w:rsid w:val="00252249"/>
    <w:rsid w:val="00257421"/>
    <w:rsid w:val="002621A1"/>
    <w:rsid w:val="002769A5"/>
    <w:rsid w:val="00277AD3"/>
    <w:rsid w:val="002825DA"/>
    <w:rsid w:val="002860A0"/>
    <w:rsid w:val="00291A3A"/>
    <w:rsid w:val="00295889"/>
    <w:rsid w:val="002A393D"/>
    <w:rsid w:val="002B3F5A"/>
    <w:rsid w:val="002C1619"/>
    <w:rsid w:val="002E1C57"/>
    <w:rsid w:val="002E5EAF"/>
    <w:rsid w:val="002F7CD0"/>
    <w:rsid w:val="00320B5A"/>
    <w:rsid w:val="003267EC"/>
    <w:rsid w:val="00330B20"/>
    <w:rsid w:val="0033106D"/>
    <w:rsid w:val="00335C6E"/>
    <w:rsid w:val="0035161A"/>
    <w:rsid w:val="00362EA7"/>
    <w:rsid w:val="0037157F"/>
    <w:rsid w:val="00374E76"/>
    <w:rsid w:val="00375D87"/>
    <w:rsid w:val="003802A2"/>
    <w:rsid w:val="0038365F"/>
    <w:rsid w:val="0038495E"/>
    <w:rsid w:val="003A0B19"/>
    <w:rsid w:val="003A5F16"/>
    <w:rsid w:val="003C26FB"/>
    <w:rsid w:val="003C5D70"/>
    <w:rsid w:val="003D5479"/>
    <w:rsid w:val="003F2FE2"/>
    <w:rsid w:val="00400AAD"/>
    <w:rsid w:val="004026B7"/>
    <w:rsid w:val="004160F0"/>
    <w:rsid w:val="004161A4"/>
    <w:rsid w:val="00416C1D"/>
    <w:rsid w:val="00427719"/>
    <w:rsid w:val="0044084B"/>
    <w:rsid w:val="00451575"/>
    <w:rsid w:val="004518B8"/>
    <w:rsid w:val="00462E18"/>
    <w:rsid w:val="00472906"/>
    <w:rsid w:val="00490067"/>
    <w:rsid w:val="00491457"/>
    <w:rsid w:val="004948A9"/>
    <w:rsid w:val="00494FA2"/>
    <w:rsid w:val="004B6BCA"/>
    <w:rsid w:val="004C0961"/>
    <w:rsid w:val="004D7034"/>
    <w:rsid w:val="0050116C"/>
    <w:rsid w:val="00501AF6"/>
    <w:rsid w:val="0051798C"/>
    <w:rsid w:val="0052502B"/>
    <w:rsid w:val="00531FF5"/>
    <w:rsid w:val="005341B3"/>
    <w:rsid w:val="00535838"/>
    <w:rsid w:val="00536B91"/>
    <w:rsid w:val="00562D3A"/>
    <w:rsid w:val="00590AE0"/>
    <w:rsid w:val="00593A1E"/>
    <w:rsid w:val="005A2849"/>
    <w:rsid w:val="005B5172"/>
    <w:rsid w:val="005B527B"/>
    <w:rsid w:val="005C02FD"/>
    <w:rsid w:val="005C3E8D"/>
    <w:rsid w:val="006111B4"/>
    <w:rsid w:val="006203F8"/>
    <w:rsid w:val="0062055E"/>
    <w:rsid w:val="006254E3"/>
    <w:rsid w:val="00641A04"/>
    <w:rsid w:val="00641A0E"/>
    <w:rsid w:val="00660E77"/>
    <w:rsid w:val="0066581F"/>
    <w:rsid w:val="00685B7F"/>
    <w:rsid w:val="0068752F"/>
    <w:rsid w:val="006979C9"/>
    <w:rsid w:val="00697FAB"/>
    <w:rsid w:val="006A2520"/>
    <w:rsid w:val="006A3502"/>
    <w:rsid w:val="006A554C"/>
    <w:rsid w:val="006A74A1"/>
    <w:rsid w:val="006B098E"/>
    <w:rsid w:val="006D082F"/>
    <w:rsid w:val="006D597F"/>
    <w:rsid w:val="006E0703"/>
    <w:rsid w:val="006E69A5"/>
    <w:rsid w:val="006F524B"/>
    <w:rsid w:val="00713C3F"/>
    <w:rsid w:val="00715A52"/>
    <w:rsid w:val="00753FB0"/>
    <w:rsid w:val="007561A4"/>
    <w:rsid w:val="00775AEC"/>
    <w:rsid w:val="007836B7"/>
    <w:rsid w:val="007855F1"/>
    <w:rsid w:val="00790015"/>
    <w:rsid w:val="007A18A6"/>
    <w:rsid w:val="007A57EA"/>
    <w:rsid w:val="007B00DE"/>
    <w:rsid w:val="007B2987"/>
    <w:rsid w:val="007E55C2"/>
    <w:rsid w:val="007E57A6"/>
    <w:rsid w:val="007F3283"/>
    <w:rsid w:val="007F473D"/>
    <w:rsid w:val="00804618"/>
    <w:rsid w:val="00820A30"/>
    <w:rsid w:val="00831167"/>
    <w:rsid w:val="00831BB4"/>
    <w:rsid w:val="00837A17"/>
    <w:rsid w:val="00843881"/>
    <w:rsid w:val="00893392"/>
    <w:rsid w:val="008A3ACE"/>
    <w:rsid w:val="008C68BA"/>
    <w:rsid w:val="008D0D1F"/>
    <w:rsid w:val="008D1B1C"/>
    <w:rsid w:val="008E099A"/>
    <w:rsid w:val="008F7A73"/>
    <w:rsid w:val="00900B43"/>
    <w:rsid w:val="009162B9"/>
    <w:rsid w:val="009253CE"/>
    <w:rsid w:val="00925BB7"/>
    <w:rsid w:val="0092746E"/>
    <w:rsid w:val="00932036"/>
    <w:rsid w:val="00942B43"/>
    <w:rsid w:val="00961C3D"/>
    <w:rsid w:val="0096450E"/>
    <w:rsid w:val="00965914"/>
    <w:rsid w:val="00965F40"/>
    <w:rsid w:val="009864A4"/>
    <w:rsid w:val="009928FA"/>
    <w:rsid w:val="009B45F4"/>
    <w:rsid w:val="009C766D"/>
    <w:rsid w:val="009D1A48"/>
    <w:rsid w:val="009D1BE6"/>
    <w:rsid w:val="009D4553"/>
    <w:rsid w:val="009D4F01"/>
    <w:rsid w:val="009F36FA"/>
    <w:rsid w:val="00A169D0"/>
    <w:rsid w:val="00A369C7"/>
    <w:rsid w:val="00A40EE3"/>
    <w:rsid w:val="00A437EC"/>
    <w:rsid w:val="00A4687B"/>
    <w:rsid w:val="00A47D12"/>
    <w:rsid w:val="00A5119D"/>
    <w:rsid w:val="00A61991"/>
    <w:rsid w:val="00A72D1B"/>
    <w:rsid w:val="00A80637"/>
    <w:rsid w:val="00A83CDC"/>
    <w:rsid w:val="00A866FA"/>
    <w:rsid w:val="00A97A17"/>
    <w:rsid w:val="00AA1D91"/>
    <w:rsid w:val="00AA5C36"/>
    <w:rsid w:val="00AA62FC"/>
    <w:rsid w:val="00AA6557"/>
    <w:rsid w:val="00AB2E08"/>
    <w:rsid w:val="00AB735D"/>
    <w:rsid w:val="00AD554A"/>
    <w:rsid w:val="00AE101E"/>
    <w:rsid w:val="00AE4426"/>
    <w:rsid w:val="00AE588E"/>
    <w:rsid w:val="00AF3260"/>
    <w:rsid w:val="00AF4E04"/>
    <w:rsid w:val="00B00652"/>
    <w:rsid w:val="00B12354"/>
    <w:rsid w:val="00B24E95"/>
    <w:rsid w:val="00B346D4"/>
    <w:rsid w:val="00B60223"/>
    <w:rsid w:val="00B620C1"/>
    <w:rsid w:val="00B722B9"/>
    <w:rsid w:val="00B95ED2"/>
    <w:rsid w:val="00BA2A56"/>
    <w:rsid w:val="00BA3E2A"/>
    <w:rsid w:val="00BA4669"/>
    <w:rsid w:val="00BA6606"/>
    <w:rsid w:val="00BB4450"/>
    <w:rsid w:val="00BC1192"/>
    <w:rsid w:val="00BE508E"/>
    <w:rsid w:val="00C06BD8"/>
    <w:rsid w:val="00C23681"/>
    <w:rsid w:val="00C30C51"/>
    <w:rsid w:val="00C3768D"/>
    <w:rsid w:val="00C40785"/>
    <w:rsid w:val="00C54F3F"/>
    <w:rsid w:val="00C638CC"/>
    <w:rsid w:val="00C63FC5"/>
    <w:rsid w:val="00C642F1"/>
    <w:rsid w:val="00C664AE"/>
    <w:rsid w:val="00C767B9"/>
    <w:rsid w:val="00C76B63"/>
    <w:rsid w:val="00CD030D"/>
    <w:rsid w:val="00CD576F"/>
    <w:rsid w:val="00CE194A"/>
    <w:rsid w:val="00CE2626"/>
    <w:rsid w:val="00CE2E6C"/>
    <w:rsid w:val="00CE5995"/>
    <w:rsid w:val="00CF0529"/>
    <w:rsid w:val="00D03405"/>
    <w:rsid w:val="00D04E6C"/>
    <w:rsid w:val="00D078F4"/>
    <w:rsid w:val="00D07CBF"/>
    <w:rsid w:val="00D11690"/>
    <w:rsid w:val="00D121CD"/>
    <w:rsid w:val="00D123CB"/>
    <w:rsid w:val="00D1648F"/>
    <w:rsid w:val="00D400F4"/>
    <w:rsid w:val="00D70003"/>
    <w:rsid w:val="00D80F61"/>
    <w:rsid w:val="00D91F7C"/>
    <w:rsid w:val="00D9495E"/>
    <w:rsid w:val="00DA3EB8"/>
    <w:rsid w:val="00DC7F36"/>
    <w:rsid w:val="00DD2B52"/>
    <w:rsid w:val="00DE03EE"/>
    <w:rsid w:val="00DE45A6"/>
    <w:rsid w:val="00DF2FA1"/>
    <w:rsid w:val="00E148A5"/>
    <w:rsid w:val="00E21CC3"/>
    <w:rsid w:val="00E462F4"/>
    <w:rsid w:val="00E54351"/>
    <w:rsid w:val="00E57CA1"/>
    <w:rsid w:val="00E65370"/>
    <w:rsid w:val="00E67D13"/>
    <w:rsid w:val="00E71C40"/>
    <w:rsid w:val="00E74AD7"/>
    <w:rsid w:val="00E80BF8"/>
    <w:rsid w:val="00E952DE"/>
    <w:rsid w:val="00E95DFC"/>
    <w:rsid w:val="00EA2E05"/>
    <w:rsid w:val="00EA7D04"/>
    <w:rsid w:val="00EB716B"/>
    <w:rsid w:val="00EC2A6D"/>
    <w:rsid w:val="00EC70C7"/>
    <w:rsid w:val="00EF23D5"/>
    <w:rsid w:val="00EF3825"/>
    <w:rsid w:val="00EF403E"/>
    <w:rsid w:val="00F01791"/>
    <w:rsid w:val="00F02C00"/>
    <w:rsid w:val="00F05ACF"/>
    <w:rsid w:val="00F30E31"/>
    <w:rsid w:val="00F4217B"/>
    <w:rsid w:val="00F43819"/>
    <w:rsid w:val="00F9085C"/>
    <w:rsid w:val="00F96F8A"/>
    <w:rsid w:val="00FB1477"/>
    <w:rsid w:val="00FC1694"/>
    <w:rsid w:val="00FD0367"/>
    <w:rsid w:val="00FD702F"/>
    <w:rsid w:val="00FF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6E887"/>
  <w15:chartTrackingRefBased/>
  <w15:docId w15:val="{428A7D9B-383C-40ED-AABD-EF3FB529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link w:val="40"/>
    <w:uiPriority w:val="9"/>
    <w:semiHidden/>
    <w:unhideWhenUsed/>
    <w:qFormat/>
    <w:rsid w:val="00451575"/>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5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7E55C2"/>
    <w:rPr>
      <w:color w:val="0000FF"/>
      <w:u w:val="single"/>
    </w:rPr>
  </w:style>
  <w:style w:type="paragraph" w:styleId="a5">
    <w:name w:val="Subtitle"/>
    <w:basedOn w:val="a"/>
    <w:qFormat/>
    <w:rsid w:val="00B346D4"/>
    <w:pPr>
      <w:spacing w:before="289"/>
      <w:ind w:left="289"/>
      <w:jc w:val="center"/>
    </w:pPr>
    <w:rPr>
      <w:rFonts w:ascii="Tahoma" w:hAnsi="Tahoma"/>
      <w:b/>
      <w:sz w:val="32"/>
      <w:szCs w:val="20"/>
    </w:rPr>
  </w:style>
  <w:style w:type="character" w:customStyle="1" w:styleId="40">
    <w:name w:val="Заголовок 4 Знак"/>
    <w:link w:val="4"/>
    <w:uiPriority w:val="9"/>
    <w:semiHidden/>
    <w:rsid w:val="00451575"/>
    <w:rPr>
      <w:rFonts w:ascii="Cambria" w:hAnsi="Cambria"/>
      <w:i/>
      <w:iCs/>
      <w:color w:val="365F91"/>
      <w:sz w:val="24"/>
      <w:szCs w:val="24"/>
    </w:rPr>
  </w:style>
  <w:style w:type="character" w:customStyle="1" w:styleId="blk">
    <w:name w:val="blk"/>
    <w:rsid w:val="00EF3825"/>
  </w:style>
  <w:style w:type="paragraph" w:styleId="a6">
    <w:name w:val="header"/>
    <w:basedOn w:val="a"/>
    <w:link w:val="a7"/>
    <w:uiPriority w:val="99"/>
    <w:rsid w:val="00C06BD8"/>
    <w:pPr>
      <w:tabs>
        <w:tab w:val="center" w:pos="4677"/>
        <w:tab w:val="right" w:pos="9355"/>
      </w:tabs>
    </w:pPr>
  </w:style>
  <w:style w:type="character" w:customStyle="1" w:styleId="a7">
    <w:name w:val="Верхний колонтитул Знак"/>
    <w:link w:val="a6"/>
    <w:uiPriority w:val="99"/>
    <w:rsid w:val="00C06BD8"/>
    <w:rPr>
      <w:sz w:val="24"/>
      <w:szCs w:val="24"/>
    </w:rPr>
  </w:style>
  <w:style w:type="paragraph" w:styleId="a8">
    <w:name w:val="footer"/>
    <w:basedOn w:val="a"/>
    <w:link w:val="a9"/>
    <w:uiPriority w:val="99"/>
    <w:rsid w:val="00C06BD8"/>
    <w:pPr>
      <w:tabs>
        <w:tab w:val="center" w:pos="4677"/>
        <w:tab w:val="right" w:pos="9355"/>
      </w:tabs>
    </w:pPr>
  </w:style>
  <w:style w:type="character" w:customStyle="1" w:styleId="a9">
    <w:name w:val="Нижний колонтитул Знак"/>
    <w:link w:val="a8"/>
    <w:uiPriority w:val="99"/>
    <w:rsid w:val="00C06BD8"/>
    <w:rPr>
      <w:sz w:val="24"/>
      <w:szCs w:val="24"/>
    </w:rPr>
  </w:style>
  <w:style w:type="paragraph" w:styleId="aa">
    <w:name w:val="Balloon Text"/>
    <w:basedOn w:val="a"/>
    <w:link w:val="ab"/>
    <w:rsid w:val="00E57CA1"/>
    <w:rPr>
      <w:rFonts w:ascii="Segoe UI" w:hAnsi="Segoe UI" w:cs="Segoe UI"/>
      <w:sz w:val="18"/>
      <w:szCs w:val="18"/>
    </w:rPr>
  </w:style>
  <w:style w:type="character" w:customStyle="1" w:styleId="ab">
    <w:name w:val="Текст выноски Знак"/>
    <w:link w:val="aa"/>
    <w:rsid w:val="00E57CA1"/>
    <w:rPr>
      <w:rFonts w:ascii="Segoe UI" w:hAnsi="Segoe UI" w:cs="Segoe UI"/>
      <w:sz w:val="18"/>
      <w:szCs w:val="18"/>
    </w:rPr>
  </w:style>
  <w:style w:type="paragraph" w:styleId="ac">
    <w:name w:val="List Paragraph"/>
    <w:basedOn w:val="a"/>
    <w:uiPriority w:val="34"/>
    <w:qFormat/>
    <w:rsid w:val="00AE588E"/>
    <w:pPr>
      <w:ind w:left="720"/>
      <w:contextualSpacing/>
    </w:pPr>
  </w:style>
  <w:style w:type="paragraph" w:customStyle="1" w:styleId="ConsPlusNormal">
    <w:name w:val="ConsPlusNormal"/>
    <w:rsid w:val="00076CA4"/>
    <w:pPr>
      <w:widowControl w:val="0"/>
      <w:autoSpaceDE w:val="0"/>
      <w:autoSpaceDN w:val="0"/>
    </w:pPr>
    <w:rPr>
      <w:rFonts w:ascii="Calibri" w:hAnsi="Calibri" w:cs="Calibri"/>
      <w:sz w:val="22"/>
    </w:rPr>
  </w:style>
  <w:style w:type="character" w:styleId="ad">
    <w:name w:val="annotation reference"/>
    <w:basedOn w:val="a0"/>
    <w:rsid w:val="00C30C51"/>
    <w:rPr>
      <w:sz w:val="16"/>
      <w:szCs w:val="16"/>
    </w:rPr>
  </w:style>
  <w:style w:type="paragraph" w:styleId="ae">
    <w:name w:val="annotation text"/>
    <w:basedOn w:val="a"/>
    <w:link w:val="af"/>
    <w:rsid w:val="00C30C51"/>
    <w:rPr>
      <w:sz w:val="20"/>
      <w:szCs w:val="20"/>
    </w:rPr>
  </w:style>
  <w:style w:type="character" w:customStyle="1" w:styleId="af">
    <w:name w:val="Текст примечания Знак"/>
    <w:basedOn w:val="a0"/>
    <w:link w:val="ae"/>
    <w:rsid w:val="00C30C51"/>
  </w:style>
  <w:style w:type="paragraph" w:styleId="af0">
    <w:name w:val="annotation subject"/>
    <w:basedOn w:val="ae"/>
    <w:next w:val="ae"/>
    <w:link w:val="af1"/>
    <w:rsid w:val="00C30C51"/>
    <w:rPr>
      <w:b/>
      <w:bCs/>
    </w:rPr>
  </w:style>
  <w:style w:type="character" w:customStyle="1" w:styleId="af1">
    <w:name w:val="Тема примечания Знак"/>
    <w:basedOn w:val="af"/>
    <w:link w:val="af0"/>
    <w:rsid w:val="00C30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ditor-sr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9ABC20FE</Template>
  <TotalTime>5</TotalTime>
  <Pages>4</Pages>
  <Words>1073</Words>
  <Characters>7690</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IPPK</Company>
  <LinksUpToDate>false</LinksUpToDate>
  <CharactersWithSpaces>8746</CharactersWithSpaces>
  <SharedDoc>false</SharedDoc>
  <HLinks>
    <vt:vector size="6" baseType="variant">
      <vt:variant>
        <vt:i4>3932192</vt:i4>
      </vt:variant>
      <vt:variant>
        <vt:i4>0</vt:i4>
      </vt:variant>
      <vt:variant>
        <vt:i4>0</vt:i4>
      </vt:variant>
      <vt:variant>
        <vt:i4>5</vt:i4>
      </vt:variant>
      <vt:variant>
        <vt:lpwstr>http://www.auditor-sro.org/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IPPK</dc:creator>
  <cp:keywords/>
  <cp:lastModifiedBy>Ольга А. Голубцова</cp:lastModifiedBy>
  <cp:revision>11</cp:revision>
  <cp:lastPrinted>2017-06-16T12:04:00Z</cp:lastPrinted>
  <dcterms:created xsi:type="dcterms:W3CDTF">2018-03-27T09:13:00Z</dcterms:created>
  <dcterms:modified xsi:type="dcterms:W3CDTF">2018-03-29T07:30:00Z</dcterms:modified>
</cp:coreProperties>
</file>