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7BA" w:rsidRPr="00317EA2" w:rsidRDefault="007567BA" w:rsidP="00317EA2">
      <w:pPr>
        <w:spacing w:after="0" w:line="240" w:lineRule="auto"/>
        <w:contextualSpacing/>
        <w:jc w:val="center"/>
        <w:rPr>
          <w:rFonts w:ascii="Times New Roman" w:eastAsia="Calibri" w:hAnsi="Times New Roman" w:cs="Times New Roman"/>
          <w:b/>
          <w:bCs/>
          <w:sz w:val="27"/>
          <w:szCs w:val="27"/>
        </w:rPr>
      </w:pPr>
      <w:r w:rsidRPr="00317EA2">
        <w:rPr>
          <w:rFonts w:ascii="Times New Roman" w:eastAsia="Calibri" w:hAnsi="Times New Roman" w:cs="Times New Roman"/>
          <w:b/>
          <w:bCs/>
          <w:sz w:val="27"/>
          <w:szCs w:val="27"/>
        </w:rPr>
        <w:t>Аналитическая записка</w:t>
      </w:r>
    </w:p>
    <w:p w:rsidR="007567BA" w:rsidRPr="00317EA2" w:rsidRDefault="007567BA" w:rsidP="00317EA2">
      <w:pPr>
        <w:spacing w:after="0" w:line="240" w:lineRule="auto"/>
        <w:contextualSpacing/>
        <w:jc w:val="center"/>
        <w:rPr>
          <w:rFonts w:ascii="Times New Roman" w:eastAsia="Calibri" w:hAnsi="Times New Roman" w:cs="Times New Roman"/>
          <w:b/>
          <w:bCs/>
          <w:sz w:val="27"/>
          <w:szCs w:val="27"/>
        </w:rPr>
      </w:pPr>
      <w:r w:rsidRPr="00317EA2">
        <w:rPr>
          <w:rFonts w:ascii="Times New Roman" w:eastAsia="Calibri" w:hAnsi="Times New Roman" w:cs="Times New Roman"/>
          <w:b/>
          <w:bCs/>
          <w:sz w:val="27"/>
          <w:szCs w:val="27"/>
        </w:rPr>
        <w:t>о состоянии и проблемах законотворчества</w:t>
      </w:r>
    </w:p>
    <w:p w:rsidR="007567BA" w:rsidRPr="00317EA2" w:rsidRDefault="007567BA" w:rsidP="00317EA2">
      <w:pPr>
        <w:spacing w:after="0" w:line="240" w:lineRule="auto"/>
        <w:ind w:firstLine="709"/>
        <w:contextualSpacing/>
        <w:jc w:val="center"/>
        <w:rPr>
          <w:rFonts w:ascii="Times New Roman" w:eastAsia="Calibri" w:hAnsi="Times New Roman" w:cs="Times New Roman"/>
          <w:bCs/>
          <w:sz w:val="27"/>
          <w:szCs w:val="27"/>
        </w:rPr>
      </w:pPr>
    </w:p>
    <w:p w:rsidR="00470536" w:rsidRPr="00317EA2" w:rsidRDefault="007567BA" w:rsidP="00317EA2">
      <w:pPr>
        <w:tabs>
          <w:tab w:val="left" w:pos="7893"/>
        </w:tabs>
        <w:spacing w:after="0" w:line="240" w:lineRule="auto"/>
        <w:contextualSpacing/>
        <w:rPr>
          <w:rFonts w:ascii="Times New Roman" w:hAnsi="Times New Roman" w:cs="Times New Roman"/>
          <w:sz w:val="27"/>
          <w:szCs w:val="27"/>
        </w:rPr>
      </w:pPr>
      <w:r w:rsidRPr="00317EA2">
        <w:rPr>
          <w:rFonts w:ascii="Times New Roman" w:hAnsi="Times New Roman" w:cs="Times New Roman"/>
          <w:sz w:val="27"/>
          <w:szCs w:val="27"/>
        </w:rPr>
        <w:t xml:space="preserve">№ 130        </w:t>
      </w:r>
      <w:r w:rsidR="00D53C1E" w:rsidRPr="00317EA2">
        <w:rPr>
          <w:rFonts w:ascii="Times New Roman" w:hAnsi="Times New Roman" w:cs="Times New Roman"/>
          <w:sz w:val="27"/>
          <w:szCs w:val="27"/>
        </w:rPr>
        <w:t xml:space="preserve">                      </w:t>
      </w:r>
      <w:r w:rsidRPr="00317EA2">
        <w:rPr>
          <w:rFonts w:ascii="Times New Roman" w:hAnsi="Times New Roman" w:cs="Times New Roman"/>
          <w:sz w:val="27"/>
          <w:szCs w:val="27"/>
        </w:rPr>
        <w:t xml:space="preserve">                                                         </w:t>
      </w:r>
      <w:r w:rsidR="005F043F" w:rsidRPr="00317EA2">
        <w:rPr>
          <w:rFonts w:ascii="Times New Roman" w:hAnsi="Times New Roman" w:cs="Times New Roman"/>
          <w:sz w:val="27"/>
          <w:szCs w:val="27"/>
        </w:rPr>
        <w:t xml:space="preserve">      </w:t>
      </w:r>
      <w:r w:rsidR="00D53C1E" w:rsidRPr="00317EA2">
        <w:rPr>
          <w:rFonts w:ascii="Times New Roman" w:hAnsi="Times New Roman" w:cs="Times New Roman"/>
          <w:sz w:val="27"/>
          <w:szCs w:val="27"/>
        </w:rPr>
        <w:t xml:space="preserve">   </w:t>
      </w:r>
      <w:r w:rsidR="00317EA2">
        <w:rPr>
          <w:rFonts w:ascii="Times New Roman" w:hAnsi="Times New Roman" w:cs="Times New Roman"/>
          <w:sz w:val="27"/>
          <w:szCs w:val="27"/>
        </w:rPr>
        <w:t xml:space="preserve">        </w:t>
      </w:r>
      <w:r w:rsidRPr="00317EA2">
        <w:rPr>
          <w:rFonts w:ascii="Times New Roman" w:hAnsi="Times New Roman" w:cs="Times New Roman"/>
          <w:sz w:val="27"/>
          <w:szCs w:val="27"/>
        </w:rPr>
        <w:t>Сентябрь 2015</w:t>
      </w:r>
    </w:p>
    <w:p w:rsidR="005F043F" w:rsidRPr="00317EA2" w:rsidRDefault="005F043F" w:rsidP="00317EA2">
      <w:pPr>
        <w:tabs>
          <w:tab w:val="left" w:pos="7893"/>
        </w:tabs>
        <w:spacing w:after="0" w:line="240" w:lineRule="auto"/>
        <w:ind w:firstLine="709"/>
        <w:contextualSpacing/>
        <w:rPr>
          <w:rFonts w:ascii="Times New Roman" w:hAnsi="Times New Roman" w:cs="Times New Roman"/>
          <w:sz w:val="27"/>
          <w:szCs w:val="27"/>
        </w:rPr>
      </w:pPr>
    </w:p>
    <w:p w:rsidR="005F043F" w:rsidRDefault="005F043F" w:rsidP="00317EA2">
      <w:pPr>
        <w:spacing w:after="0" w:line="240" w:lineRule="auto"/>
        <w:ind w:firstLine="709"/>
        <w:contextualSpacing/>
        <w:jc w:val="center"/>
        <w:rPr>
          <w:rFonts w:ascii="Times New Roman" w:hAnsi="Times New Roman" w:cs="Times New Roman"/>
          <w:b/>
          <w:sz w:val="27"/>
          <w:szCs w:val="27"/>
        </w:rPr>
      </w:pPr>
      <w:r w:rsidRPr="00317EA2">
        <w:rPr>
          <w:rFonts w:ascii="Times New Roman" w:hAnsi="Times New Roman" w:cs="Times New Roman"/>
          <w:b/>
          <w:sz w:val="27"/>
          <w:szCs w:val="27"/>
        </w:rPr>
        <w:t>Новый закон для торгово-промышленных палат</w:t>
      </w:r>
    </w:p>
    <w:p w:rsidR="00317EA2" w:rsidRPr="00317EA2" w:rsidRDefault="00317EA2" w:rsidP="00317EA2">
      <w:pPr>
        <w:spacing w:after="0" w:line="240" w:lineRule="auto"/>
        <w:ind w:firstLine="709"/>
        <w:contextualSpacing/>
        <w:jc w:val="center"/>
        <w:rPr>
          <w:rFonts w:ascii="Times New Roman" w:hAnsi="Times New Roman" w:cs="Times New Roman"/>
          <w:b/>
          <w:sz w:val="27"/>
          <w:szCs w:val="27"/>
        </w:rPr>
      </w:pPr>
    </w:p>
    <w:p w:rsidR="005F043F" w:rsidRPr="00317EA2" w:rsidRDefault="005F043F" w:rsidP="00317EA2">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Закон Российской Федерации «О торгово-промышленных палатах в Российской Федерации» (далее – Закон) был принят в 1993 году и действует уже более двадцати лет. Принятие данного Закона явилось важнейшим импульсом для развития предпринимательства и торгово-промышленных палат в России. Однако за истекший после принятия Закона период времени в Российской Федерации произошли существенные изменения.</w:t>
      </w:r>
    </w:p>
    <w:p w:rsidR="005F043F" w:rsidRPr="00317EA2" w:rsidRDefault="005F043F" w:rsidP="00317EA2">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Во-первых, изменилась общественно-политическая и экономическая ситуация. Появились новые задачи и направления развития предпринимательства, в реализации которых активно участвуют и торгово-промышленные палаты.</w:t>
      </w:r>
    </w:p>
    <w:p w:rsidR="005F043F" w:rsidRPr="00317EA2" w:rsidRDefault="005F043F" w:rsidP="00317EA2">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Во-вторых, расширилась и укрепилась законодательная база, регулирующая гражданский обор</w:t>
      </w:r>
      <w:r w:rsidR="00E25549" w:rsidRPr="00317EA2">
        <w:rPr>
          <w:rFonts w:ascii="Times New Roman" w:hAnsi="Times New Roman" w:cs="Times New Roman"/>
          <w:sz w:val="27"/>
          <w:szCs w:val="27"/>
        </w:rPr>
        <w:t>от. Так, были приняты изменения</w:t>
      </w:r>
      <w:r w:rsidRPr="00317EA2">
        <w:rPr>
          <w:rFonts w:ascii="Times New Roman" w:hAnsi="Times New Roman" w:cs="Times New Roman"/>
          <w:sz w:val="27"/>
          <w:szCs w:val="27"/>
        </w:rPr>
        <w:t xml:space="preserve"> в отдельные главы Гражданского кодекса РФ, которые вступили в силу с 1 сентября 2014 года и существенно изменили как регулирование в предпринимательской сфере, так и статус некоммерческих организаций, в том числе торгово-промышленных палат.</w:t>
      </w:r>
    </w:p>
    <w:p w:rsidR="005F043F" w:rsidRPr="00317EA2" w:rsidRDefault="005F043F" w:rsidP="00317EA2">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В-третьих, развивалась и совершенствовалась система торгово-промышленных палат. Так, значительно увеличилось количество палат за счет создания муниципальных (городских и районных) палат; расширились задачи и функции, выполняемые торгово-промышленными палатами; более четко определилась роль палат как связующего элемента во взаимоотношениях бизнеса и власти.</w:t>
      </w:r>
    </w:p>
    <w:p w:rsidR="005F043F" w:rsidRPr="00317EA2" w:rsidRDefault="005127BD" w:rsidP="00317EA2">
      <w:pPr>
        <w:spacing w:after="0" w:line="240" w:lineRule="auto"/>
        <w:ind w:firstLine="709"/>
        <w:contextualSpacing/>
        <w:jc w:val="both"/>
        <w:rPr>
          <w:rFonts w:ascii="Times New Roman" w:hAnsi="Times New Roman" w:cs="Times New Roman"/>
          <w:sz w:val="27"/>
          <w:szCs w:val="27"/>
        </w:rPr>
      </w:pPr>
      <w:proofErr w:type="gramStart"/>
      <w:r>
        <w:rPr>
          <w:rFonts w:ascii="Times New Roman" w:hAnsi="Times New Roman" w:cs="Times New Roman"/>
          <w:sz w:val="27"/>
          <w:szCs w:val="27"/>
        </w:rPr>
        <w:t>В этой связи о</w:t>
      </w:r>
      <w:r w:rsidR="005F043F" w:rsidRPr="00317EA2">
        <w:rPr>
          <w:rFonts w:ascii="Times New Roman" w:hAnsi="Times New Roman" w:cs="Times New Roman"/>
          <w:sz w:val="27"/>
          <w:szCs w:val="27"/>
        </w:rPr>
        <w:t>бъективно назрела необходимость внести в Закон о ТПП изменения и дополнения. 9 сентября 2015 года в Государс</w:t>
      </w:r>
      <w:r w:rsidR="00FC09CF">
        <w:rPr>
          <w:rFonts w:ascii="Times New Roman" w:hAnsi="Times New Roman" w:cs="Times New Roman"/>
          <w:sz w:val="27"/>
          <w:szCs w:val="27"/>
        </w:rPr>
        <w:t xml:space="preserve">твенную Думу депутатами </w:t>
      </w:r>
      <w:proofErr w:type="spellStart"/>
      <w:r w:rsidR="005F043F" w:rsidRPr="00317EA2">
        <w:rPr>
          <w:rFonts w:ascii="Times New Roman" w:hAnsi="Times New Roman" w:cs="Times New Roman"/>
          <w:sz w:val="27"/>
          <w:szCs w:val="27"/>
        </w:rPr>
        <w:t>А.Г.Аксаковым</w:t>
      </w:r>
      <w:proofErr w:type="spellEnd"/>
      <w:r w:rsidR="005F043F" w:rsidRPr="00317EA2">
        <w:rPr>
          <w:rFonts w:ascii="Times New Roman" w:hAnsi="Times New Roman" w:cs="Times New Roman"/>
          <w:sz w:val="27"/>
          <w:szCs w:val="27"/>
        </w:rPr>
        <w:t xml:space="preserve">, </w:t>
      </w:r>
      <w:proofErr w:type="spellStart"/>
      <w:r w:rsidR="005F043F" w:rsidRPr="00317EA2">
        <w:rPr>
          <w:rFonts w:ascii="Times New Roman" w:hAnsi="Times New Roman" w:cs="Times New Roman"/>
          <w:sz w:val="27"/>
          <w:szCs w:val="27"/>
        </w:rPr>
        <w:t>А.Е.Карповым</w:t>
      </w:r>
      <w:proofErr w:type="spellEnd"/>
      <w:r w:rsidR="005F043F" w:rsidRPr="00317EA2">
        <w:rPr>
          <w:rFonts w:ascii="Times New Roman" w:hAnsi="Times New Roman" w:cs="Times New Roman"/>
          <w:sz w:val="27"/>
          <w:szCs w:val="27"/>
        </w:rPr>
        <w:t xml:space="preserve">, </w:t>
      </w:r>
      <w:proofErr w:type="spellStart"/>
      <w:r w:rsidR="005F043F" w:rsidRPr="00317EA2">
        <w:rPr>
          <w:rFonts w:ascii="Times New Roman" w:hAnsi="Times New Roman" w:cs="Times New Roman"/>
          <w:sz w:val="27"/>
          <w:szCs w:val="27"/>
        </w:rPr>
        <w:t>Т.О.Алексеевой</w:t>
      </w:r>
      <w:proofErr w:type="spellEnd"/>
      <w:r w:rsidR="005F043F" w:rsidRPr="00317EA2">
        <w:rPr>
          <w:rFonts w:ascii="Times New Roman" w:hAnsi="Times New Roman" w:cs="Times New Roman"/>
          <w:sz w:val="27"/>
          <w:szCs w:val="27"/>
        </w:rPr>
        <w:t xml:space="preserve">, </w:t>
      </w:r>
      <w:proofErr w:type="spellStart"/>
      <w:r w:rsidR="005F043F" w:rsidRPr="00317EA2">
        <w:rPr>
          <w:rFonts w:ascii="Times New Roman" w:hAnsi="Times New Roman" w:cs="Times New Roman"/>
          <w:sz w:val="27"/>
          <w:szCs w:val="27"/>
        </w:rPr>
        <w:t>П.С.Дорохиным</w:t>
      </w:r>
      <w:proofErr w:type="spellEnd"/>
      <w:r w:rsidR="005F043F" w:rsidRPr="00317EA2">
        <w:rPr>
          <w:rFonts w:ascii="Times New Roman" w:hAnsi="Times New Roman" w:cs="Times New Roman"/>
          <w:sz w:val="27"/>
          <w:szCs w:val="27"/>
        </w:rPr>
        <w:t xml:space="preserve">, </w:t>
      </w:r>
      <w:proofErr w:type="spellStart"/>
      <w:r w:rsidR="005F043F" w:rsidRPr="00317EA2">
        <w:rPr>
          <w:rFonts w:ascii="Times New Roman" w:hAnsi="Times New Roman" w:cs="Times New Roman"/>
          <w:sz w:val="27"/>
          <w:szCs w:val="27"/>
        </w:rPr>
        <w:t>А.Б.Выборным</w:t>
      </w:r>
      <w:proofErr w:type="spellEnd"/>
      <w:r w:rsidR="005F043F" w:rsidRPr="00317EA2">
        <w:rPr>
          <w:rFonts w:ascii="Times New Roman" w:hAnsi="Times New Roman" w:cs="Times New Roman"/>
          <w:sz w:val="27"/>
          <w:szCs w:val="27"/>
        </w:rPr>
        <w:t xml:space="preserve"> и членом Совета Федерации </w:t>
      </w:r>
      <w:proofErr w:type="spellStart"/>
      <w:r w:rsidR="005F043F" w:rsidRPr="00317EA2">
        <w:rPr>
          <w:rFonts w:ascii="Times New Roman" w:hAnsi="Times New Roman" w:cs="Times New Roman"/>
          <w:sz w:val="27"/>
          <w:szCs w:val="27"/>
        </w:rPr>
        <w:t>А.П.Майоровым</w:t>
      </w:r>
      <w:proofErr w:type="spellEnd"/>
      <w:r w:rsidR="005F043F" w:rsidRPr="00317EA2">
        <w:rPr>
          <w:rFonts w:ascii="Times New Roman" w:hAnsi="Times New Roman" w:cs="Times New Roman"/>
          <w:sz w:val="27"/>
          <w:szCs w:val="27"/>
        </w:rPr>
        <w:t xml:space="preserve"> внесен проект фе</w:t>
      </w:r>
      <w:r w:rsidR="00FC09CF">
        <w:rPr>
          <w:rFonts w:ascii="Times New Roman" w:hAnsi="Times New Roman" w:cs="Times New Roman"/>
          <w:sz w:val="27"/>
          <w:szCs w:val="27"/>
        </w:rPr>
        <w:t xml:space="preserve">дерального закона № 878551-6 </w:t>
      </w:r>
      <w:r w:rsidR="005F043F" w:rsidRPr="00317EA2">
        <w:rPr>
          <w:rFonts w:ascii="Times New Roman" w:hAnsi="Times New Roman" w:cs="Times New Roman"/>
          <w:sz w:val="27"/>
          <w:szCs w:val="27"/>
        </w:rPr>
        <w:t>«О внесении изменений в Закон Российской Федерации «О торгово-промышленных палатах в</w:t>
      </w:r>
      <w:proofErr w:type="gramEnd"/>
      <w:r w:rsidR="005F043F" w:rsidRPr="00317EA2">
        <w:rPr>
          <w:rFonts w:ascii="Times New Roman" w:hAnsi="Times New Roman" w:cs="Times New Roman"/>
          <w:sz w:val="27"/>
          <w:szCs w:val="27"/>
        </w:rPr>
        <w:t xml:space="preserve"> Российской Федерации» (далее – проект). Проектом предусматривается законодательное закрепление нового определения торгово-промышленной палаты в качестве союза, уточняется порядок ее образования и компетенция органов управления, расширяются права и функции палат по вопросам развития предпринимательства, защиты и представления интересов предпринимателей в органах государственной власти и местного самоуправления. </w:t>
      </w:r>
    </w:p>
    <w:p w:rsidR="005F043F" w:rsidRDefault="005F043F" w:rsidP="00317EA2">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 xml:space="preserve">В частности, скорректировано положение о минимальном количестве учредителей для образования торгово-промышленной палаты - не менее чем 30 учредителей (в настоящее время – не менее 15). Принимая во внимание, что в России уже создано 182 территориальные торгово-промышленные палаты, целью предлагаемого увеличения числа учредителей является совершенствование порядка образования палат, а именно, создание их на территориях с относительно высокой предпринимательской активностью. Это позволит </w:t>
      </w:r>
      <w:r w:rsidRPr="00317EA2">
        <w:rPr>
          <w:rFonts w:ascii="Times New Roman" w:hAnsi="Times New Roman" w:cs="Times New Roman"/>
          <w:sz w:val="27"/>
          <w:szCs w:val="27"/>
        </w:rPr>
        <w:lastRenderedPageBreak/>
        <w:t xml:space="preserve">обеспечить защиту интересов представителей бизнеса там, где это действительно необходимо. </w:t>
      </w:r>
    </w:p>
    <w:p w:rsidR="007C7CDB" w:rsidRPr="007C7CDB" w:rsidRDefault="007C7CDB" w:rsidP="007C7CDB">
      <w:pPr>
        <w:spacing w:after="0" w:line="24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Также в</w:t>
      </w:r>
      <w:r w:rsidRPr="007C7CDB">
        <w:rPr>
          <w:rFonts w:ascii="Times New Roman" w:hAnsi="Times New Roman" w:cs="Times New Roman"/>
          <w:sz w:val="27"/>
          <w:szCs w:val="27"/>
        </w:rPr>
        <w:t xml:space="preserve"> законопроекте закреплены некоторые </w:t>
      </w:r>
      <w:r w:rsidR="00305C0F">
        <w:rPr>
          <w:rFonts w:ascii="Times New Roman" w:hAnsi="Times New Roman" w:cs="Times New Roman"/>
          <w:sz w:val="27"/>
          <w:szCs w:val="27"/>
        </w:rPr>
        <w:t xml:space="preserve">публично-правовые </w:t>
      </w:r>
      <w:r w:rsidRPr="007C7CDB">
        <w:rPr>
          <w:rFonts w:ascii="Times New Roman" w:hAnsi="Times New Roman" w:cs="Times New Roman"/>
          <w:sz w:val="27"/>
          <w:szCs w:val="27"/>
        </w:rPr>
        <w:t>функции, которые в последние годы стали практически реализовыв</w:t>
      </w:r>
      <w:r>
        <w:rPr>
          <w:rFonts w:ascii="Times New Roman" w:hAnsi="Times New Roman" w:cs="Times New Roman"/>
          <w:sz w:val="27"/>
          <w:szCs w:val="27"/>
        </w:rPr>
        <w:t>ать торгово-промышленные палаты.</w:t>
      </w:r>
      <w:r w:rsidRPr="007C7CDB">
        <w:rPr>
          <w:rFonts w:ascii="Times New Roman" w:hAnsi="Times New Roman" w:cs="Times New Roman"/>
          <w:sz w:val="27"/>
          <w:szCs w:val="27"/>
        </w:rPr>
        <w:t xml:space="preserve"> </w:t>
      </w:r>
      <w:r>
        <w:rPr>
          <w:rFonts w:ascii="Times New Roman" w:hAnsi="Times New Roman" w:cs="Times New Roman"/>
          <w:sz w:val="27"/>
          <w:szCs w:val="27"/>
        </w:rPr>
        <w:t>В</w:t>
      </w:r>
      <w:r w:rsidRPr="007C7CDB">
        <w:rPr>
          <w:rFonts w:ascii="Times New Roman" w:hAnsi="Times New Roman" w:cs="Times New Roman"/>
          <w:sz w:val="27"/>
          <w:szCs w:val="27"/>
        </w:rPr>
        <w:t xml:space="preserve"> частности, выдавать документы, подтверждающие страну происхождения товаров (работ, услуг) для целей осуществления закупок для обеспечения государственных и муниципальных нужд; оформлять заключения о статусе товара, изготовленного в особых экономических зонах, а также выдавать </w:t>
      </w:r>
      <w:proofErr w:type="spellStart"/>
      <w:r w:rsidRPr="007C7CDB">
        <w:rPr>
          <w:rFonts w:ascii="Times New Roman" w:hAnsi="Times New Roman" w:cs="Times New Roman"/>
          <w:sz w:val="27"/>
          <w:szCs w:val="27"/>
        </w:rPr>
        <w:t>карнеты</w:t>
      </w:r>
      <w:proofErr w:type="spellEnd"/>
      <w:r w:rsidRPr="007C7CDB">
        <w:rPr>
          <w:rFonts w:ascii="Times New Roman" w:hAnsi="Times New Roman" w:cs="Times New Roman"/>
          <w:sz w:val="27"/>
          <w:szCs w:val="27"/>
        </w:rPr>
        <w:t xml:space="preserve"> АТА – международные таможенные документы, используемые при временном ввозе/вывозе товаров.</w:t>
      </w:r>
    </w:p>
    <w:p w:rsidR="007C7CDB" w:rsidRPr="00317EA2" w:rsidRDefault="007C7CDB" w:rsidP="007C7CDB">
      <w:pPr>
        <w:spacing w:after="0" w:line="240" w:lineRule="auto"/>
        <w:ind w:firstLine="709"/>
        <w:contextualSpacing/>
        <w:jc w:val="both"/>
        <w:rPr>
          <w:rFonts w:ascii="Times New Roman" w:hAnsi="Times New Roman" w:cs="Times New Roman"/>
          <w:sz w:val="27"/>
          <w:szCs w:val="27"/>
        </w:rPr>
      </w:pPr>
      <w:r w:rsidRPr="007C7CDB">
        <w:rPr>
          <w:rFonts w:ascii="Times New Roman" w:hAnsi="Times New Roman" w:cs="Times New Roman"/>
          <w:sz w:val="27"/>
          <w:szCs w:val="27"/>
        </w:rPr>
        <w:t xml:space="preserve">Помимо этого, </w:t>
      </w:r>
      <w:r>
        <w:rPr>
          <w:rFonts w:ascii="Times New Roman" w:hAnsi="Times New Roman" w:cs="Times New Roman"/>
          <w:sz w:val="27"/>
          <w:szCs w:val="27"/>
        </w:rPr>
        <w:t>у</w:t>
      </w:r>
      <w:r w:rsidRPr="007C7CDB">
        <w:rPr>
          <w:rFonts w:ascii="Times New Roman" w:hAnsi="Times New Roman" w:cs="Times New Roman"/>
          <w:sz w:val="27"/>
          <w:szCs w:val="27"/>
        </w:rPr>
        <w:t>точнены функции торгово-промышленных палат и особенности их участия в развитии внешнеэкономического сотрудничества, в частности, по созданию деловых советов по сотрудничеству с зарубежными странами. Это позволит более эффективно взаимодействовать с государственными органами в сфере укрепления экономических отношений, наращивания торгового оборота, поможет российским предпринимателям в изучении потенциальных рынков сбыта, выработке ценовой политики, открытии за рубежом представительств и филиалов.</w:t>
      </w:r>
    </w:p>
    <w:p w:rsidR="005F043F" w:rsidRPr="00317EA2" w:rsidRDefault="007C7CDB" w:rsidP="00317EA2">
      <w:pPr>
        <w:spacing w:after="0" w:line="24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 xml:space="preserve">Проект перед внесением в Государственную Думу был направлен в территориальные торгово-промышленные палаты. </w:t>
      </w:r>
      <w:r w:rsidR="005F043F" w:rsidRPr="00317EA2">
        <w:rPr>
          <w:rFonts w:ascii="Times New Roman" w:hAnsi="Times New Roman" w:cs="Times New Roman"/>
          <w:sz w:val="27"/>
          <w:szCs w:val="27"/>
        </w:rPr>
        <w:t>17 сентября 2015 года законопроект рассмотрен Советом Государственной Думы и направлен на отзывы в Правительство РФ и законодательные (представительные) органы субъектов Российской Федерации.</w:t>
      </w:r>
    </w:p>
    <w:p w:rsidR="005F043F" w:rsidRPr="00317EA2" w:rsidRDefault="005F043F" w:rsidP="00317EA2">
      <w:pPr>
        <w:spacing w:after="0" w:line="240" w:lineRule="auto"/>
        <w:ind w:firstLine="709"/>
        <w:contextualSpacing/>
        <w:jc w:val="both"/>
        <w:rPr>
          <w:rFonts w:ascii="Times New Roman" w:hAnsi="Times New Roman" w:cs="Times New Roman"/>
          <w:sz w:val="27"/>
          <w:szCs w:val="27"/>
        </w:rPr>
      </w:pPr>
    </w:p>
    <w:p w:rsidR="00A87F4D" w:rsidRPr="00317EA2" w:rsidRDefault="00A87F4D" w:rsidP="00A87F4D">
      <w:pPr>
        <w:spacing w:after="0" w:line="240" w:lineRule="auto"/>
        <w:contextualSpacing/>
        <w:jc w:val="center"/>
        <w:rPr>
          <w:rFonts w:ascii="Times New Roman" w:hAnsi="Times New Roman" w:cs="Times New Roman"/>
          <w:b/>
          <w:sz w:val="27"/>
          <w:szCs w:val="27"/>
        </w:rPr>
      </w:pPr>
      <w:r w:rsidRPr="00317EA2">
        <w:rPr>
          <w:rFonts w:ascii="Times New Roman" w:hAnsi="Times New Roman" w:cs="Times New Roman"/>
          <w:b/>
          <w:sz w:val="27"/>
          <w:szCs w:val="27"/>
        </w:rPr>
        <w:t xml:space="preserve">Государственный </w:t>
      </w:r>
      <w:r w:rsidR="00305C0F">
        <w:rPr>
          <w:rFonts w:ascii="Times New Roman" w:hAnsi="Times New Roman" w:cs="Times New Roman"/>
          <w:b/>
          <w:sz w:val="27"/>
          <w:szCs w:val="27"/>
        </w:rPr>
        <w:t xml:space="preserve">и муниципальный </w:t>
      </w:r>
      <w:r w:rsidRPr="00317EA2">
        <w:rPr>
          <w:rFonts w:ascii="Times New Roman" w:hAnsi="Times New Roman" w:cs="Times New Roman"/>
          <w:b/>
          <w:sz w:val="27"/>
          <w:szCs w:val="27"/>
        </w:rPr>
        <w:t>контроль и надзор: что думает бизнес</w:t>
      </w:r>
    </w:p>
    <w:p w:rsidR="00A87F4D" w:rsidRPr="00317EA2" w:rsidRDefault="00A87F4D" w:rsidP="00A87F4D">
      <w:pPr>
        <w:spacing w:after="0" w:line="240" w:lineRule="auto"/>
        <w:ind w:firstLine="709"/>
        <w:contextualSpacing/>
        <w:jc w:val="both"/>
        <w:rPr>
          <w:rFonts w:ascii="Times New Roman" w:hAnsi="Times New Roman" w:cs="Times New Roman"/>
          <w:sz w:val="27"/>
          <w:szCs w:val="27"/>
        </w:rPr>
      </w:pPr>
    </w:p>
    <w:p w:rsidR="00A87F4D" w:rsidRPr="00317EA2" w:rsidRDefault="00A87F4D" w:rsidP="00A87F4D">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 xml:space="preserve">Торгово-промышленной палатой РФ в сентябре был проведен опрос, в котором приняли участие порядка 100 респондентов из 28 регионов России. </w:t>
      </w:r>
    </w:p>
    <w:p w:rsidR="00A87F4D" w:rsidRPr="00317EA2" w:rsidRDefault="00A87F4D" w:rsidP="00A87F4D">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 xml:space="preserve">Результаты проведенного анкетирования показали, что в числе наиболее болезненных вопросов в этой сфере для бизнеса </w:t>
      </w:r>
      <w:r w:rsidR="00305C0F">
        <w:rPr>
          <w:rFonts w:ascii="Times New Roman" w:hAnsi="Times New Roman" w:cs="Times New Roman"/>
          <w:sz w:val="27"/>
          <w:szCs w:val="27"/>
        </w:rPr>
        <w:t>называются</w:t>
      </w:r>
      <w:r w:rsidRPr="00317EA2">
        <w:rPr>
          <w:rFonts w:ascii="Times New Roman" w:hAnsi="Times New Roman" w:cs="Times New Roman"/>
          <w:sz w:val="27"/>
          <w:szCs w:val="27"/>
        </w:rPr>
        <w:t xml:space="preserve"> следующие:</w:t>
      </w:r>
    </w:p>
    <w:p w:rsidR="00A87F4D" w:rsidRPr="00317EA2" w:rsidRDefault="00A87F4D" w:rsidP="00A87F4D">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w:t>
      </w:r>
      <w:r w:rsidRPr="00317EA2">
        <w:rPr>
          <w:rFonts w:ascii="Times New Roman" w:hAnsi="Times New Roman" w:cs="Times New Roman"/>
          <w:sz w:val="27"/>
          <w:szCs w:val="27"/>
        </w:rPr>
        <w:tab/>
        <w:t>несоблюдение установленных законодательством ограничений при проведении проверок (например, отсутствие в решении о назначении проверки перечня проверяемых требований, истребование документов и выявление нарушений</w:t>
      </w:r>
      <w:r w:rsidR="00305C0F">
        <w:rPr>
          <w:rFonts w:ascii="Times New Roman" w:hAnsi="Times New Roman" w:cs="Times New Roman"/>
          <w:sz w:val="27"/>
          <w:szCs w:val="27"/>
        </w:rPr>
        <w:t>,</w:t>
      </w:r>
      <w:r w:rsidRPr="00317EA2">
        <w:rPr>
          <w:rFonts w:ascii="Times New Roman" w:hAnsi="Times New Roman" w:cs="Times New Roman"/>
          <w:sz w:val="27"/>
          <w:szCs w:val="27"/>
        </w:rPr>
        <w:t xml:space="preserve"> не относящихся к предмету проверки);</w:t>
      </w:r>
    </w:p>
    <w:p w:rsidR="00A87F4D" w:rsidRPr="00317EA2" w:rsidRDefault="00A87F4D" w:rsidP="00A87F4D">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w:t>
      </w:r>
      <w:r w:rsidRPr="00317EA2">
        <w:rPr>
          <w:rFonts w:ascii="Times New Roman" w:hAnsi="Times New Roman" w:cs="Times New Roman"/>
          <w:sz w:val="27"/>
          <w:szCs w:val="27"/>
        </w:rPr>
        <w:tab/>
        <w:t>использование полученных с нарушением законодательства по результатам проверок доказатель</w:t>
      </w:r>
      <w:proofErr w:type="gramStart"/>
      <w:r w:rsidRPr="00317EA2">
        <w:rPr>
          <w:rFonts w:ascii="Times New Roman" w:hAnsi="Times New Roman" w:cs="Times New Roman"/>
          <w:sz w:val="27"/>
          <w:szCs w:val="27"/>
        </w:rPr>
        <w:t>ств дл</w:t>
      </w:r>
      <w:proofErr w:type="gramEnd"/>
      <w:r w:rsidRPr="00317EA2">
        <w:rPr>
          <w:rFonts w:ascii="Times New Roman" w:hAnsi="Times New Roman" w:cs="Times New Roman"/>
          <w:sz w:val="27"/>
          <w:szCs w:val="27"/>
        </w:rPr>
        <w:t>я привлечения к ответственности;</w:t>
      </w:r>
    </w:p>
    <w:p w:rsidR="00A87F4D" w:rsidRPr="00317EA2" w:rsidRDefault="00A87F4D" w:rsidP="00A87F4D">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w:t>
      </w:r>
      <w:r w:rsidRPr="00317EA2">
        <w:rPr>
          <w:rFonts w:ascii="Times New Roman" w:hAnsi="Times New Roman" w:cs="Times New Roman"/>
          <w:sz w:val="27"/>
          <w:szCs w:val="27"/>
        </w:rPr>
        <w:tab/>
        <w:t>проведение внеплановых проверок, при проведении которых инспекторы не могут не выявить нарушение или уйти без наложения санкций;</w:t>
      </w:r>
    </w:p>
    <w:p w:rsidR="00A87F4D" w:rsidRPr="00317EA2" w:rsidRDefault="00A87F4D" w:rsidP="00A87F4D">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w:t>
      </w:r>
      <w:r w:rsidRPr="00317EA2">
        <w:rPr>
          <w:rFonts w:ascii="Times New Roman" w:hAnsi="Times New Roman" w:cs="Times New Roman"/>
          <w:sz w:val="27"/>
          <w:szCs w:val="27"/>
        </w:rPr>
        <w:tab/>
        <w:t>предъявление требований к МСП со стороны проверяющих без учета их категорий и уровня развития;</w:t>
      </w:r>
    </w:p>
    <w:p w:rsidR="00A87F4D" w:rsidRPr="00317EA2" w:rsidRDefault="00A87F4D" w:rsidP="00A87F4D">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w:t>
      </w:r>
      <w:r w:rsidRPr="00317EA2">
        <w:rPr>
          <w:rFonts w:ascii="Times New Roman" w:hAnsi="Times New Roman" w:cs="Times New Roman"/>
          <w:sz w:val="27"/>
          <w:szCs w:val="27"/>
        </w:rPr>
        <w:tab/>
        <w:t>контролирующие органы не используют механизм вынесения предупреждений в случае добросовестного исполнения предписаний;</w:t>
      </w:r>
    </w:p>
    <w:p w:rsidR="00A87F4D" w:rsidRPr="00317EA2" w:rsidRDefault="00A87F4D" w:rsidP="00A87F4D">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w:t>
      </w:r>
      <w:r w:rsidRPr="00317EA2">
        <w:rPr>
          <w:rFonts w:ascii="Times New Roman" w:hAnsi="Times New Roman" w:cs="Times New Roman"/>
          <w:sz w:val="27"/>
          <w:szCs w:val="27"/>
        </w:rPr>
        <w:tab/>
        <w:t>отсутствие достаточной информации у проверяемого лица о законности, основаниях и предмете проверки. Такая информация становится известной только при обращении в суд, прокуратуру илы вышестоящий орган при обжаловании;</w:t>
      </w:r>
    </w:p>
    <w:p w:rsidR="00A87F4D" w:rsidRPr="00317EA2" w:rsidRDefault="00A87F4D" w:rsidP="00A87F4D">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lastRenderedPageBreak/>
        <w:t>•</w:t>
      </w:r>
      <w:r w:rsidRPr="00317EA2">
        <w:rPr>
          <w:rFonts w:ascii="Times New Roman" w:hAnsi="Times New Roman" w:cs="Times New Roman"/>
          <w:sz w:val="27"/>
          <w:szCs w:val="27"/>
        </w:rPr>
        <w:tab/>
        <w:t>проверки зачастую оттягивают трудовые ресурсы на подготовку большого объема запрашиваемой в рамках проверки  информации и документов;</w:t>
      </w:r>
    </w:p>
    <w:p w:rsidR="00A87F4D" w:rsidRPr="00317EA2" w:rsidRDefault="00A87F4D" w:rsidP="00A87F4D">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w:t>
      </w:r>
      <w:r w:rsidRPr="00317EA2">
        <w:rPr>
          <w:rFonts w:ascii="Times New Roman" w:hAnsi="Times New Roman" w:cs="Times New Roman"/>
          <w:sz w:val="27"/>
          <w:szCs w:val="27"/>
        </w:rPr>
        <w:tab/>
        <w:t>необоснованность выводов контрольных органов;</w:t>
      </w:r>
    </w:p>
    <w:p w:rsidR="00FC09CF" w:rsidRDefault="00A87F4D" w:rsidP="00FC09CF">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w:t>
      </w:r>
      <w:r w:rsidRPr="00317EA2">
        <w:rPr>
          <w:rFonts w:ascii="Times New Roman" w:hAnsi="Times New Roman" w:cs="Times New Roman"/>
          <w:sz w:val="27"/>
          <w:szCs w:val="27"/>
        </w:rPr>
        <w:tab/>
        <w:t>большой объем запрашиваемой информации (не всегда относящейся к предмету проверки) и сжатые сроки на ее подготовку.</w:t>
      </w:r>
    </w:p>
    <w:p w:rsidR="00A87F4D" w:rsidRPr="00317EA2" w:rsidRDefault="00A87F4D" w:rsidP="00A87F4D">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Следует также отметить, что наибольшие трудности и существенное отвлечение трудовых и финансовых ресурсов влекут внеплановые выездные проверки. В отношении субъектов малого и среднего предпринимательства и по сравнению с 2014 годом число проверок в 2015 году осталось неизменным.</w:t>
      </w:r>
    </w:p>
    <w:p w:rsidR="00A87F4D" w:rsidRDefault="00A87F4D" w:rsidP="00A87F4D">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При этом, как отмечает бизнес (около 70% респондентов), наиболее часто осуществляет государственный контро</w:t>
      </w:r>
      <w:r w:rsidR="00305C0F">
        <w:rPr>
          <w:rFonts w:ascii="Times New Roman" w:hAnsi="Times New Roman" w:cs="Times New Roman"/>
          <w:sz w:val="27"/>
          <w:szCs w:val="27"/>
        </w:rPr>
        <w:t xml:space="preserve">ль и надзор </w:t>
      </w:r>
      <w:proofErr w:type="spellStart"/>
      <w:r w:rsidR="00305C0F">
        <w:rPr>
          <w:rFonts w:ascii="Times New Roman" w:hAnsi="Times New Roman" w:cs="Times New Roman"/>
          <w:sz w:val="27"/>
          <w:szCs w:val="27"/>
        </w:rPr>
        <w:t>Роспотребнадзор</w:t>
      </w:r>
      <w:proofErr w:type="spellEnd"/>
      <w:r w:rsidR="00305C0F">
        <w:rPr>
          <w:rFonts w:ascii="Times New Roman" w:hAnsi="Times New Roman" w:cs="Times New Roman"/>
          <w:sz w:val="27"/>
          <w:szCs w:val="27"/>
        </w:rPr>
        <w:t>. Нена</w:t>
      </w:r>
      <w:r w:rsidRPr="00317EA2">
        <w:rPr>
          <w:rFonts w:ascii="Times New Roman" w:hAnsi="Times New Roman" w:cs="Times New Roman"/>
          <w:sz w:val="27"/>
          <w:szCs w:val="27"/>
        </w:rPr>
        <w:t xml:space="preserve">много от него отстают МЧС России, </w:t>
      </w:r>
      <w:proofErr w:type="spellStart"/>
      <w:r w:rsidRPr="00317EA2">
        <w:rPr>
          <w:rFonts w:ascii="Times New Roman" w:hAnsi="Times New Roman" w:cs="Times New Roman"/>
          <w:sz w:val="27"/>
          <w:szCs w:val="27"/>
        </w:rPr>
        <w:t>Роструд</w:t>
      </w:r>
      <w:proofErr w:type="spellEnd"/>
      <w:r w:rsidRPr="00317EA2">
        <w:rPr>
          <w:rFonts w:ascii="Times New Roman" w:hAnsi="Times New Roman" w:cs="Times New Roman"/>
          <w:sz w:val="27"/>
          <w:szCs w:val="27"/>
        </w:rPr>
        <w:t xml:space="preserve"> и </w:t>
      </w:r>
      <w:proofErr w:type="spellStart"/>
      <w:r w:rsidRPr="00317EA2">
        <w:rPr>
          <w:rFonts w:ascii="Times New Roman" w:hAnsi="Times New Roman" w:cs="Times New Roman"/>
          <w:sz w:val="27"/>
          <w:szCs w:val="27"/>
        </w:rPr>
        <w:t>Ростехнадзор</w:t>
      </w:r>
      <w:proofErr w:type="spellEnd"/>
      <w:r w:rsidRPr="00317EA2">
        <w:rPr>
          <w:rFonts w:ascii="Times New Roman" w:hAnsi="Times New Roman" w:cs="Times New Roman"/>
          <w:sz w:val="27"/>
          <w:szCs w:val="27"/>
        </w:rPr>
        <w:t>.</w:t>
      </w:r>
    </w:p>
    <w:p w:rsidR="00030249" w:rsidRPr="00317EA2" w:rsidRDefault="00030249" w:rsidP="00A87F4D">
      <w:pPr>
        <w:spacing w:after="0" w:line="24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 xml:space="preserve">Результаты опроса и видение направлений развития контрольно-надзорной деятельности органов государственной власти и органов местного самоуправления были представлены Президентом ТПП РФ С.Н. Катыриным на встрече с Министром РФ М.А. </w:t>
      </w:r>
      <w:proofErr w:type="spellStart"/>
      <w:r>
        <w:rPr>
          <w:rFonts w:ascii="Times New Roman" w:hAnsi="Times New Roman" w:cs="Times New Roman"/>
          <w:sz w:val="27"/>
          <w:szCs w:val="27"/>
        </w:rPr>
        <w:t>Абызовым</w:t>
      </w:r>
      <w:proofErr w:type="spellEnd"/>
      <w:r>
        <w:rPr>
          <w:rFonts w:ascii="Times New Roman" w:hAnsi="Times New Roman" w:cs="Times New Roman"/>
          <w:sz w:val="27"/>
          <w:szCs w:val="27"/>
        </w:rPr>
        <w:t xml:space="preserve">, а также на отдельной сессии в рамках </w:t>
      </w:r>
      <w:r w:rsidR="00FC09CF">
        <w:rPr>
          <w:rFonts w:ascii="Times New Roman" w:hAnsi="Times New Roman" w:cs="Times New Roman"/>
          <w:sz w:val="27"/>
          <w:szCs w:val="27"/>
        </w:rPr>
        <w:t>инвестиционного форума «Сочи-201</w:t>
      </w:r>
      <w:r>
        <w:rPr>
          <w:rFonts w:ascii="Times New Roman" w:hAnsi="Times New Roman" w:cs="Times New Roman"/>
          <w:sz w:val="27"/>
          <w:szCs w:val="27"/>
        </w:rPr>
        <w:t>5».</w:t>
      </w:r>
    </w:p>
    <w:p w:rsidR="00A87F4D" w:rsidRPr="00317EA2" w:rsidRDefault="00A87F4D" w:rsidP="00A87F4D">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 xml:space="preserve">Экспертами ТПП РФ была </w:t>
      </w:r>
      <w:r w:rsidR="00FC09CF">
        <w:rPr>
          <w:rFonts w:ascii="Times New Roman" w:hAnsi="Times New Roman" w:cs="Times New Roman"/>
          <w:sz w:val="27"/>
          <w:szCs w:val="27"/>
        </w:rPr>
        <w:t xml:space="preserve">также </w:t>
      </w:r>
      <w:r w:rsidRPr="00317EA2">
        <w:rPr>
          <w:rFonts w:ascii="Times New Roman" w:hAnsi="Times New Roman" w:cs="Times New Roman"/>
          <w:sz w:val="27"/>
          <w:szCs w:val="27"/>
        </w:rPr>
        <w:t>проведена экспертиза уже пятой версии проекта, доработанного Минэкономразвития в середине сентября. Этот проект содержит ряд новых принципов государственного</w:t>
      </w:r>
      <w:r w:rsidR="00305C0F">
        <w:rPr>
          <w:rFonts w:ascii="Times New Roman" w:hAnsi="Times New Roman" w:cs="Times New Roman"/>
          <w:sz w:val="27"/>
          <w:szCs w:val="27"/>
        </w:rPr>
        <w:t xml:space="preserve"> и муниципального </w:t>
      </w:r>
      <w:r w:rsidRPr="00317EA2">
        <w:rPr>
          <w:rFonts w:ascii="Times New Roman" w:hAnsi="Times New Roman" w:cs="Times New Roman"/>
          <w:sz w:val="27"/>
          <w:szCs w:val="27"/>
        </w:rPr>
        <w:t xml:space="preserve"> контроля. К таким положениям проекта, в первую очередь, относятся ориентация на общественно-значимые результаты контроля (надзора), а также интеграция показателей эффективности в отчетность и планы деятельности ведомств</w:t>
      </w:r>
      <w:proofErr w:type="gramStart"/>
      <w:r w:rsidRPr="00317EA2">
        <w:rPr>
          <w:rFonts w:ascii="Times New Roman" w:hAnsi="Times New Roman" w:cs="Times New Roman"/>
          <w:sz w:val="27"/>
          <w:szCs w:val="27"/>
        </w:rPr>
        <w:t>.</w:t>
      </w:r>
      <w:proofErr w:type="gramEnd"/>
      <w:r w:rsidRPr="00317EA2">
        <w:rPr>
          <w:rFonts w:ascii="Times New Roman" w:hAnsi="Times New Roman" w:cs="Times New Roman"/>
          <w:sz w:val="27"/>
          <w:szCs w:val="27"/>
        </w:rPr>
        <w:t xml:space="preserve"> </w:t>
      </w:r>
      <w:r w:rsidR="006778BD">
        <w:rPr>
          <w:rFonts w:ascii="Times New Roman" w:hAnsi="Times New Roman" w:cs="Times New Roman"/>
          <w:sz w:val="27"/>
          <w:szCs w:val="27"/>
        </w:rPr>
        <w:t>П</w:t>
      </w:r>
      <w:r w:rsidRPr="00317EA2">
        <w:rPr>
          <w:rFonts w:ascii="Times New Roman" w:hAnsi="Times New Roman" w:cs="Times New Roman"/>
          <w:sz w:val="27"/>
          <w:szCs w:val="27"/>
        </w:rPr>
        <w:t xml:space="preserve">ереход на систему, обеспечивающую эффективность контроля, позволит </w:t>
      </w:r>
      <w:r w:rsidR="006778BD">
        <w:rPr>
          <w:rFonts w:ascii="Times New Roman" w:hAnsi="Times New Roman" w:cs="Times New Roman"/>
          <w:sz w:val="27"/>
          <w:szCs w:val="27"/>
        </w:rPr>
        <w:t xml:space="preserve">в первую очередь </w:t>
      </w:r>
      <w:r w:rsidRPr="00317EA2">
        <w:rPr>
          <w:rFonts w:ascii="Times New Roman" w:hAnsi="Times New Roman" w:cs="Times New Roman"/>
          <w:sz w:val="27"/>
          <w:szCs w:val="27"/>
        </w:rPr>
        <w:t xml:space="preserve">минимизировать затраты государства и бизнеса. Положительно можно оценить и стремление государства к переходу от тотальных проверок </w:t>
      </w:r>
      <w:proofErr w:type="gramStart"/>
      <w:r w:rsidRPr="00317EA2">
        <w:rPr>
          <w:rFonts w:ascii="Times New Roman" w:hAnsi="Times New Roman" w:cs="Times New Roman"/>
          <w:sz w:val="27"/>
          <w:szCs w:val="27"/>
        </w:rPr>
        <w:t>к</w:t>
      </w:r>
      <w:proofErr w:type="gramEnd"/>
      <w:r w:rsidRPr="00317EA2">
        <w:rPr>
          <w:rFonts w:ascii="Times New Roman" w:hAnsi="Times New Roman" w:cs="Times New Roman"/>
          <w:sz w:val="27"/>
          <w:szCs w:val="27"/>
        </w:rPr>
        <w:t xml:space="preserve"> </w:t>
      </w:r>
      <w:proofErr w:type="gramStart"/>
      <w:r w:rsidRPr="00317EA2">
        <w:rPr>
          <w:rFonts w:ascii="Times New Roman" w:hAnsi="Times New Roman" w:cs="Times New Roman"/>
          <w:sz w:val="27"/>
          <w:szCs w:val="27"/>
        </w:rPr>
        <w:t>риск</w:t>
      </w:r>
      <w:proofErr w:type="gramEnd"/>
      <w:r w:rsidRPr="00317EA2">
        <w:rPr>
          <w:rFonts w:ascii="Times New Roman" w:hAnsi="Times New Roman" w:cs="Times New Roman"/>
          <w:sz w:val="27"/>
          <w:szCs w:val="27"/>
        </w:rPr>
        <w:t xml:space="preserve"> ориентированному подходу, когда при осуществлении государственного и муниципального контроля (надзора), выборе форм его осуществления «во главу угла» </w:t>
      </w:r>
      <w:r w:rsidR="006778BD">
        <w:rPr>
          <w:rFonts w:ascii="Times New Roman" w:hAnsi="Times New Roman" w:cs="Times New Roman"/>
          <w:sz w:val="27"/>
          <w:szCs w:val="27"/>
        </w:rPr>
        <w:t xml:space="preserve">будет </w:t>
      </w:r>
      <w:r w:rsidRPr="00317EA2">
        <w:rPr>
          <w:rFonts w:ascii="Times New Roman" w:hAnsi="Times New Roman" w:cs="Times New Roman"/>
          <w:sz w:val="27"/>
          <w:szCs w:val="27"/>
        </w:rPr>
        <w:t>ставит</w:t>
      </w:r>
      <w:r w:rsidR="006778BD">
        <w:rPr>
          <w:rFonts w:ascii="Times New Roman" w:hAnsi="Times New Roman" w:cs="Times New Roman"/>
          <w:sz w:val="27"/>
          <w:szCs w:val="27"/>
        </w:rPr>
        <w:t>ь</w:t>
      </w:r>
      <w:r w:rsidRPr="00317EA2">
        <w:rPr>
          <w:rFonts w:ascii="Times New Roman" w:hAnsi="Times New Roman" w:cs="Times New Roman"/>
          <w:sz w:val="27"/>
          <w:szCs w:val="27"/>
        </w:rPr>
        <w:t xml:space="preserve">ся соразмерность вмешательства риску причинения вреда охраняемым законом ценностям. </w:t>
      </w:r>
    </w:p>
    <w:p w:rsidR="00A87F4D" w:rsidRPr="00317EA2" w:rsidRDefault="00A87F4D" w:rsidP="00A87F4D">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 xml:space="preserve">В общей сложности порядка 30 замечаний </w:t>
      </w:r>
      <w:r w:rsidR="00030249">
        <w:rPr>
          <w:rFonts w:ascii="Times New Roman" w:hAnsi="Times New Roman" w:cs="Times New Roman"/>
          <w:sz w:val="27"/>
          <w:szCs w:val="27"/>
        </w:rPr>
        <w:t xml:space="preserve">ТПП РФ </w:t>
      </w:r>
      <w:r w:rsidRPr="00317EA2">
        <w:rPr>
          <w:rFonts w:ascii="Times New Roman" w:hAnsi="Times New Roman" w:cs="Times New Roman"/>
          <w:sz w:val="27"/>
          <w:szCs w:val="27"/>
        </w:rPr>
        <w:t>уже были учтены разработчиками проекта, который, к сожалению, в целом до сих пор со</w:t>
      </w:r>
      <w:r w:rsidR="006778BD">
        <w:rPr>
          <w:rFonts w:ascii="Times New Roman" w:hAnsi="Times New Roman" w:cs="Times New Roman"/>
          <w:sz w:val="27"/>
          <w:szCs w:val="27"/>
        </w:rPr>
        <w:t xml:space="preserve">храняет существенные недостатки, которые можно свести </w:t>
      </w:r>
      <w:proofErr w:type="gramStart"/>
      <w:r w:rsidR="006778BD">
        <w:rPr>
          <w:rFonts w:ascii="Times New Roman" w:hAnsi="Times New Roman" w:cs="Times New Roman"/>
          <w:sz w:val="27"/>
          <w:szCs w:val="27"/>
        </w:rPr>
        <w:t>к</w:t>
      </w:r>
      <w:proofErr w:type="gramEnd"/>
      <w:r w:rsidR="006778BD">
        <w:rPr>
          <w:rFonts w:ascii="Times New Roman" w:hAnsi="Times New Roman" w:cs="Times New Roman"/>
          <w:sz w:val="27"/>
          <w:szCs w:val="27"/>
        </w:rPr>
        <w:t xml:space="preserve"> следующим.</w:t>
      </w:r>
      <w:r w:rsidRPr="00317EA2">
        <w:rPr>
          <w:rFonts w:ascii="Times New Roman" w:hAnsi="Times New Roman" w:cs="Times New Roman"/>
          <w:sz w:val="27"/>
          <w:szCs w:val="27"/>
        </w:rPr>
        <w:t xml:space="preserve"> </w:t>
      </w:r>
    </w:p>
    <w:p w:rsidR="00A87F4D" w:rsidRPr="00317EA2" w:rsidRDefault="00A87F4D" w:rsidP="00A87F4D">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 xml:space="preserve">1. </w:t>
      </w:r>
      <w:r w:rsidR="006778BD">
        <w:rPr>
          <w:rFonts w:ascii="Times New Roman" w:hAnsi="Times New Roman" w:cs="Times New Roman"/>
          <w:sz w:val="27"/>
          <w:szCs w:val="27"/>
        </w:rPr>
        <w:t>Расширение с 5 до 8 оснований</w:t>
      </w:r>
      <w:r w:rsidRPr="00317EA2">
        <w:rPr>
          <w:rFonts w:ascii="Times New Roman" w:hAnsi="Times New Roman" w:cs="Times New Roman"/>
          <w:sz w:val="27"/>
          <w:szCs w:val="27"/>
        </w:rPr>
        <w:t xml:space="preserve"> проведения внеплановых проверок</w:t>
      </w:r>
      <w:r w:rsidR="006778BD">
        <w:rPr>
          <w:rFonts w:ascii="Times New Roman" w:hAnsi="Times New Roman" w:cs="Times New Roman"/>
          <w:sz w:val="27"/>
          <w:szCs w:val="27"/>
        </w:rPr>
        <w:t>, что</w:t>
      </w:r>
      <w:r w:rsidRPr="00317EA2">
        <w:rPr>
          <w:rFonts w:ascii="Times New Roman" w:hAnsi="Times New Roman" w:cs="Times New Roman"/>
          <w:sz w:val="27"/>
          <w:szCs w:val="27"/>
        </w:rPr>
        <w:t xml:space="preserve"> значительно снижает гарантии защиты прав бизнеса.</w:t>
      </w:r>
    </w:p>
    <w:p w:rsidR="00A87F4D" w:rsidRPr="00317EA2" w:rsidRDefault="00A87F4D" w:rsidP="00A87F4D">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 xml:space="preserve">2. В новой редакции законопроекта предусматривается увеличение сроков выездных проверок с действующих 20 до 60 дней. </w:t>
      </w:r>
    </w:p>
    <w:p w:rsidR="00A87F4D" w:rsidRPr="00317EA2" w:rsidRDefault="00A87F4D" w:rsidP="00A87F4D">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3. Мероприятия контроля и надзора</w:t>
      </w:r>
      <w:r w:rsidR="006778BD">
        <w:rPr>
          <w:rFonts w:ascii="Times New Roman" w:hAnsi="Times New Roman" w:cs="Times New Roman"/>
          <w:sz w:val="27"/>
          <w:szCs w:val="27"/>
        </w:rPr>
        <w:t>,</w:t>
      </w:r>
      <w:r w:rsidRPr="00317EA2">
        <w:rPr>
          <w:rFonts w:ascii="Times New Roman" w:hAnsi="Times New Roman" w:cs="Times New Roman"/>
          <w:sz w:val="27"/>
          <w:szCs w:val="27"/>
        </w:rPr>
        <w:t xml:space="preserve"> по-прежнему</w:t>
      </w:r>
      <w:r w:rsidR="006778BD">
        <w:rPr>
          <w:rFonts w:ascii="Times New Roman" w:hAnsi="Times New Roman" w:cs="Times New Roman"/>
          <w:sz w:val="27"/>
          <w:szCs w:val="27"/>
        </w:rPr>
        <w:t>,</w:t>
      </w:r>
      <w:r w:rsidRPr="00317EA2">
        <w:rPr>
          <w:rFonts w:ascii="Times New Roman" w:hAnsi="Times New Roman" w:cs="Times New Roman"/>
          <w:sz w:val="27"/>
          <w:szCs w:val="27"/>
        </w:rPr>
        <w:t xml:space="preserve"> сохранили в себе заимствования из уголовного процесса – допрос, изъятие, выемка документов. </w:t>
      </w:r>
    </w:p>
    <w:p w:rsidR="00A87F4D" w:rsidRPr="00317EA2" w:rsidRDefault="00A87F4D" w:rsidP="00A87F4D">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 xml:space="preserve">4. Законопроект не устанавливает в ряде случаев обязательности применения должностными лицами т.н. проверочных листов.  </w:t>
      </w:r>
    </w:p>
    <w:p w:rsidR="00A87F4D" w:rsidRPr="00317EA2" w:rsidRDefault="00A87F4D" w:rsidP="00A87F4D">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5. В законопроекте не до конца проработаны механизмы негосударственного контроля и надзора, такие как контроль саморегулируемой организации, декларирование соответствия, меры профилактики правонарушений, страхование рисков и ответственности.</w:t>
      </w:r>
    </w:p>
    <w:p w:rsidR="00A87F4D" w:rsidRPr="00317EA2" w:rsidRDefault="00A87F4D" w:rsidP="00A87F4D">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 xml:space="preserve">6. В законопроекте не прописаны механизмы общественного </w:t>
      </w:r>
      <w:proofErr w:type="gramStart"/>
      <w:r w:rsidRPr="00317EA2">
        <w:rPr>
          <w:rFonts w:ascii="Times New Roman" w:hAnsi="Times New Roman" w:cs="Times New Roman"/>
          <w:sz w:val="27"/>
          <w:szCs w:val="27"/>
        </w:rPr>
        <w:t>контроля за</w:t>
      </w:r>
      <w:proofErr w:type="gramEnd"/>
      <w:r w:rsidRPr="00317EA2">
        <w:rPr>
          <w:rFonts w:ascii="Times New Roman" w:hAnsi="Times New Roman" w:cs="Times New Roman"/>
          <w:sz w:val="27"/>
          <w:szCs w:val="27"/>
        </w:rPr>
        <w:t xml:space="preserve"> реализацией контрольно-надзорных функций при разработке положений о </w:t>
      </w:r>
      <w:r w:rsidRPr="00317EA2">
        <w:rPr>
          <w:rFonts w:ascii="Times New Roman" w:hAnsi="Times New Roman" w:cs="Times New Roman"/>
          <w:sz w:val="27"/>
          <w:szCs w:val="27"/>
        </w:rPr>
        <w:lastRenderedPageBreak/>
        <w:t>контроле и надзоре, административных регламентов и ведомственных систем управления рисками.</w:t>
      </w:r>
    </w:p>
    <w:p w:rsidR="00A87F4D" w:rsidRDefault="006778BD" w:rsidP="00A87F4D">
      <w:pPr>
        <w:spacing w:after="0" w:line="24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Торгово-промышленная палата РФ</w:t>
      </w:r>
      <w:r w:rsidR="00A87F4D" w:rsidRPr="00317EA2">
        <w:rPr>
          <w:rFonts w:ascii="Times New Roman" w:hAnsi="Times New Roman" w:cs="Times New Roman"/>
          <w:sz w:val="27"/>
          <w:szCs w:val="27"/>
        </w:rPr>
        <w:t xml:space="preserve"> </w:t>
      </w:r>
      <w:r>
        <w:rPr>
          <w:rFonts w:ascii="Times New Roman" w:hAnsi="Times New Roman" w:cs="Times New Roman"/>
          <w:sz w:val="27"/>
          <w:szCs w:val="27"/>
        </w:rPr>
        <w:t xml:space="preserve">считает </w:t>
      </w:r>
      <w:r w:rsidR="00A87F4D" w:rsidRPr="00317EA2">
        <w:rPr>
          <w:rFonts w:ascii="Times New Roman" w:hAnsi="Times New Roman" w:cs="Times New Roman"/>
          <w:sz w:val="27"/>
          <w:szCs w:val="27"/>
        </w:rPr>
        <w:t>необходимым дополнить законопроект механизмом ответственности органов власти, указав перечень нарушений должностных лиц контролирующих органов</w:t>
      </w:r>
      <w:r>
        <w:rPr>
          <w:rFonts w:ascii="Times New Roman" w:hAnsi="Times New Roman" w:cs="Times New Roman"/>
          <w:sz w:val="27"/>
          <w:szCs w:val="27"/>
        </w:rPr>
        <w:t>, а также тем,</w:t>
      </w:r>
      <w:r w:rsidR="00BA2433">
        <w:rPr>
          <w:rFonts w:ascii="Times New Roman" w:hAnsi="Times New Roman" w:cs="Times New Roman"/>
          <w:sz w:val="27"/>
          <w:szCs w:val="27"/>
        </w:rPr>
        <w:br/>
      </w:r>
      <w:r w:rsidR="00A87F4D" w:rsidRPr="00317EA2">
        <w:rPr>
          <w:rFonts w:ascii="Times New Roman" w:hAnsi="Times New Roman" w:cs="Times New Roman"/>
          <w:sz w:val="27"/>
          <w:szCs w:val="27"/>
        </w:rPr>
        <w:t xml:space="preserve"> в соответствии с каким законодательством (административным или уголовным) наступает такая ответственность.</w:t>
      </w:r>
    </w:p>
    <w:p w:rsidR="00030249" w:rsidRDefault="00030249" w:rsidP="00FC09CF">
      <w:pPr>
        <w:spacing w:after="0" w:line="240" w:lineRule="auto"/>
        <w:ind w:firstLine="709"/>
        <w:jc w:val="both"/>
        <w:rPr>
          <w:rFonts w:ascii="Times New Roman" w:hAnsi="Times New Roman" w:cs="Times New Roman"/>
          <w:sz w:val="28"/>
          <w:szCs w:val="28"/>
        </w:rPr>
      </w:pPr>
      <w:r>
        <w:rPr>
          <w:rFonts w:ascii="Times New Roman" w:hAnsi="Times New Roman" w:cs="Times New Roman"/>
          <w:sz w:val="27"/>
          <w:szCs w:val="27"/>
        </w:rPr>
        <w:t>Торгово-промышленная палата РФ также выступила с предложением перенести срок внесения законопроекта на рас</w:t>
      </w:r>
      <w:r w:rsidR="00BA2433">
        <w:rPr>
          <w:rFonts w:ascii="Times New Roman" w:hAnsi="Times New Roman" w:cs="Times New Roman"/>
          <w:sz w:val="27"/>
          <w:szCs w:val="27"/>
        </w:rPr>
        <w:t>смотрение в Правительство РФ и Государственную Д</w:t>
      </w:r>
      <w:r>
        <w:rPr>
          <w:rFonts w:ascii="Times New Roman" w:hAnsi="Times New Roman" w:cs="Times New Roman"/>
          <w:sz w:val="27"/>
          <w:szCs w:val="27"/>
        </w:rPr>
        <w:t xml:space="preserve">уму до 1 июля 2016 года. </w:t>
      </w:r>
    </w:p>
    <w:p w:rsidR="00A87F4D" w:rsidRDefault="00A87F4D" w:rsidP="00A87F4D">
      <w:pPr>
        <w:spacing w:after="0" w:line="240" w:lineRule="auto"/>
        <w:contextualSpacing/>
        <w:rPr>
          <w:rFonts w:ascii="Times New Roman" w:hAnsi="Times New Roman" w:cs="Times New Roman"/>
          <w:b/>
          <w:sz w:val="27"/>
          <w:szCs w:val="27"/>
        </w:rPr>
      </w:pPr>
    </w:p>
    <w:p w:rsidR="005F043F" w:rsidRDefault="005F043F" w:rsidP="00317EA2">
      <w:pPr>
        <w:spacing w:after="0" w:line="240" w:lineRule="auto"/>
        <w:ind w:firstLine="709"/>
        <w:contextualSpacing/>
        <w:jc w:val="center"/>
        <w:rPr>
          <w:rFonts w:ascii="Times New Roman" w:hAnsi="Times New Roman" w:cs="Times New Roman"/>
          <w:b/>
          <w:sz w:val="27"/>
          <w:szCs w:val="27"/>
        </w:rPr>
      </w:pPr>
      <w:r w:rsidRPr="00317EA2">
        <w:rPr>
          <w:rFonts w:ascii="Times New Roman" w:hAnsi="Times New Roman" w:cs="Times New Roman"/>
          <w:b/>
          <w:sz w:val="27"/>
          <w:szCs w:val="27"/>
        </w:rPr>
        <w:t>«Четвертый антимонопольный» за добросовестную конкуренцию</w:t>
      </w:r>
    </w:p>
    <w:p w:rsidR="00317EA2" w:rsidRPr="00317EA2" w:rsidRDefault="00317EA2" w:rsidP="00317EA2">
      <w:pPr>
        <w:spacing w:after="0" w:line="240" w:lineRule="auto"/>
        <w:ind w:firstLine="709"/>
        <w:contextualSpacing/>
        <w:jc w:val="center"/>
        <w:rPr>
          <w:rFonts w:ascii="Times New Roman" w:hAnsi="Times New Roman" w:cs="Times New Roman"/>
          <w:b/>
          <w:sz w:val="27"/>
          <w:szCs w:val="27"/>
        </w:rPr>
      </w:pPr>
    </w:p>
    <w:p w:rsidR="007C7CDB" w:rsidRDefault="005F043F" w:rsidP="00317EA2">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 xml:space="preserve">22 сентября Государственная Дума приняла так называемый «четвертый антимонопольный пакет». </w:t>
      </w:r>
      <w:r w:rsidR="007C7CDB" w:rsidRPr="007C7CDB">
        <w:rPr>
          <w:rFonts w:ascii="Times New Roman" w:hAnsi="Times New Roman" w:cs="Times New Roman"/>
          <w:sz w:val="27"/>
          <w:szCs w:val="27"/>
        </w:rPr>
        <w:t xml:space="preserve">ТПП РФ сопровождала </w:t>
      </w:r>
      <w:r w:rsidR="007C7CDB">
        <w:rPr>
          <w:rFonts w:ascii="Times New Roman" w:hAnsi="Times New Roman" w:cs="Times New Roman"/>
          <w:sz w:val="27"/>
          <w:szCs w:val="27"/>
        </w:rPr>
        <w:t xml:space="preserve">его </w:t>
      </w:r>
      <w:r w:rsidR="007C7CDB" w:rsidRPr="007C7CDB">
        <w:rPr>
          <w:rFonts w:ascii="Times New Roman" w:hAnsi="Times New Roman" w:cs="Times New Roman"/>
          <w:sz w:val="27"/>
          <w:szCs w:val="27"/>
        </w:rPr>
        <w:t>разработку</w:t>
      </w:r>
      <w:r w:rsidR="00FC09CF">
        <w:rPr>
          <w:rFonts w:ascii="Times New Roman" w:hAnsi="Times New Roman" w:cs="Times New Roman"/>
          <w:sz w:val="27"/>
          <w:szCs w:val="27"/>
        </w:rPr>
        <w:t xml:space="preserve"> с этапа «нулевого чтения»</w:t>
      </w:r>
      <w:r w:rsidR="007C7CDB" w:rsidRPr="007C7CDB">
        <w:rPr>
          <w:rFonts w:ascii="Times New Roman" w:hAnsi="Times New Roman" w:cs="Times New Roman"/>
          <w:sz w:val="27"/>
          <w:szCs w:val="27"/>
        </w:rPr>
        <w:t xml:space="preserve">. Изначально предполагалось распространить действие законопроекта на широкий круг отношений, в том числе, на отношения, связанные с использованием исключительных прав на результаты интеллектуальной деятельности; обязать компании утверждать правила торговых практик; изменить порядок предоставления государственных и муниципальных преференций и многое другое. С этими положениями ТПП РФ была не согласна, в </w:t>
      </w:r>
      <w:proofErr w:type="gramStart"/>
      <w:r w:rsidR="007C7CDB" w:rsidRPr="007C7CDB">
        <w:rPr>
          <w:rFonts w:ascii="Times New Roman" w:hAnsi="Times New Roman" w:cs="Times New Roman"/>
          <w:sz w:val="27"/>
          <w:szCs w:val="27"/>
        </w:rPr>
        <w:t>связи</w:t>
      </w:r>
      <w:proofErr w:type="gramEnd"/>
      <w:r w:rsidR="007C7CDB" w:rsidRPr="007C7CDB">
        <w:rPr>
          <w:rFonts w:ascii="Times New Roman" w:hAnsi="Times New Roman" w:cs="Times New Roman"/>
          <w:sz w:val="27"/>
          <w:szCs w:val="27"/>
        </w:rPr>
        <w:t xml:space="preserve"> с чем неоднократно направляла в ФАС России заключения по законопроекту. Указанные замечания Палаты были учтены на стадии «нулевого чтения».</w:t>
      </w:r>
    </w:p>
    <w:p w:rsidR="005F043F" w:rsidRPr="00317EA2" w:rsidRDefault="005F043F" w:rsidP="00317EA2">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 xml:space="preserve">Новый </w:t>
      </w:r>
      <w:r w:rsidR="00A1399F">
        <w:rPr>
          <w:rFonts w:ascii="Times New Roman" w:hAnsi="Times New Roman" w:cs="Times New Roman"/>
          <w:sz w:val="27"/>
          <w:szCs w:val="27"/>
        </w:rPr>
        <w:t xml:space="preserve">Закон </w:t>
      </w:r>
      <w:r w:rsidRPr="00317EA2">
        <w:rPr>
          <w:rFonts w:ascii="Times New Roman" w:hAnsi="Times New Roman" w:cs="Times New Roman"/>
          <w:sz w:val="27"/>
          <w:szCs w:val="27"/>
        </w:rPr>
        <w:t xml:space="preserve">содержит значительное количество существенных изменений во всех сферах </w:t>
      </w:r>
      <w:r w:rsidR="00A1399F">
        <w:rPr>
          <w:rFonts w:ascii="Times New Roman" w:hAnsi="Times New Roman" w:cs="Times New Roman"/>
          <w:sz w:val="27"/>
          <w:szCs w:val="27"/>
        </w:rPr>
        <w:t xml:space="preserve">антимонопольного </w:t>
      </w:r>
      <w:r w:rsidRPr="00317EA2">
        <w:rPr>
          <w:rFonts w:ascii="Times New Roman" w:hAnsi="Times New Roman" w:cs="Times New Roman"/>
          <w:sz w:val="27"/>
          <w:szCs w:val="27"/>
        </w:rPr>
        <w:t xml:space="preserve">регулирования. </w:t>
      </w:r>
    </w:p>
    <w:p w:rsidR="005F043F" w:rsidRPr="00317EA2" w:rsidRDefault="005F043F" w:rsidP="00317EA2">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 xml:space="preserve">Во-первых, важные поправки коснулись правил о доминировании на товарном рынке. В частности, исключена возможность признания антимонопольным органом доминирующего положения субъекта, если его доля на товарном рынке менее 35%. </w:t>
      </w:r>
      <w:r w:rsidR="007C7CDB">
        <w:rPr>
          <w:rFonts w:ascii="Times New Roman" w:hAnsi="Times New Roman" w:cs="Times New Roman"/>
          <w:sz w:val="27"/>
          <w:szCs w:val="27"/>
        </w:rPr>
        <w:t xml:space="preserve">На этом также настаивала Палата и другие объединения предпринимателей. </w:t>
      </w:r>
      <w:r w:rsidRPr="00317EA2">
        <w:rPr>
          <w:rFonts w:ascii="Times New Roman" w:hAnsi="Times New Roman" w:cs="Times New Roman"/>
          <w:sz w:val="27"/>
          <w:szCs w:val="27"/>
        </w:rPr>
        <w:t xml:space="preserve">Вместе с тем, доминирующее положение при доле менее 35% по-прежнему может быть установлено у хозяйствующих субъектов в случаях, прямо предусмотренных федеральными отраслевыми законами (например, в сфере связи, электроэнергетики и др.), а также при «коллективном доминировании» нескольких хозяйствующих субъектов. </w:t>
      </w:r>
    </w:p>
    <w:p w:rsidR="005F043F" w:rsidRPr="00317EA2" w:rsidRDefault="005F043F" w:rsidP="00317EA2">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Также существенной является новелла о правилах недискриминационного доступа к товарам хозяйствующих субъектов, не являющихся субъектами естественной монополии. Теперь Правительство РФ может принять акт, устанавливающий такие правила лишь в отношении лица, доля которого на товарном рынке превышает 70%. Основанием для принятия указанного акта будет являться выявленное антимонопольным органом нарушение хозяйствующим субъектом запрета на злоупотребление доминирующим положением.</w:t>
      </w:r>
    </w:p>
    <w:p w:rsidR="005F043F" w:rsidRPr="00317EA2" w:rsidRDefault="005F043F" w:rsidP="00317EA2">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 xml:space="preserve">Кроме того, </w:t>
      </w:r>
      <w:proofErr w:type="gramStart"/>
      <w:r w:rsidRPr="00317EA2">
        <w:rPr>
          <w:rFonts w:ascii="Times New Roman" w:hAnsi="Times New Roman" w:cs="Times New Roman"/>
          <w:sz w:val="27"/>
          <w:szCs w:val="27"/>
        </w:rPr>
        <w:t>к</w:t>
      </w:r>
      <w:proofErr w:type="gramEnd"/>
      <w:r w:rsidRPr="00317EA2">
        <w:rPr>
          <w:rFonts w:ascii="Times New Roman" w:hAnsi="Times New Roman" w:cs="Times New Roman"/>
          <w:sz w:val="27"/>
          <w:szCs w:val="27"/>
        </w:rPr>
        <w:t xml:space="preserve"> </w:t>
      </w:r>
      <w:proofErr w:type="gramStart"/>
      <w:r w:rsidRPr="00317EA2">
        <w:rPr>
          <w:rFonts w:ascii="Times New Roman" w:hAnsi="Times New Roman" w:cs="Times New Roman"/>
          <w:sz w:val="27"/>
          <w:szCs w:val="27"/>
        </w:rPr>
        <w:t>позитивным</w:t>
      </w:r>
      <w:proofErr w:type="gramEnd"/>
      <w:r w:rsidRPr="00317EA2">
        <w:rPr>
          <w:rFonts w:ascii="Times New Roman" w:hAnsi="Times New Roman" w:cs="Times New Roman"/>
          <w:sz w:val="27"/>
          <w:szCs w:val="27"/>
        </w:rPr>
        <w:t xml:space="preserve"> изменением можно отнести отмену реестра хозяйствующих субъектов, занимающих долю на рынке определенного товара в размере более чем 35%. Это существенно защитит интересы лиц, в отношении которых рассматриваются дела о злоупотреблении доминирующим положением </w:t>
      </w:r>
      <w:r w:rsidRPr="00317EA2">
        <w:rPr>
          <w:rFonts w:ascii="Times New Roman" w:hAnsi="Times New Roman" w:cs="Times New Roman"/>
          <w:sz w:val="27"/>
          <w:szCs w:val="27"/>
        </w:rPr>
        <w:lastRenderedPageBreak/>
        <w:t xml:space="preserve">или с участием которых совершаются сделки экономической концентрации. Ранее включение хозяйствующего субъекта в реестр с долей более 50% создавало презумпцию о его доминировании, которую на практике достаточно сложно было опровергнуть. </w:t>
      </w:r>
    </w:p>
    <w:p w:rsidR="005F043F" w:rsidRPr="00317EA2" w:rsidRDefault="005F043F" w:rsidP="00317EA2">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 xml:space="preserve">Во-вторых, существенно изменены положения законодательства                              об </w:t>
      </w:r>
      <w:proofErr w:type="spellStart"/>
      <w:r w:rsidRPr="00317EA2">
        <w:rPr>
          <w:rFonts w:ascii="Times New Roman" w:hAnsi="Times New Roman" w:cs="Times New Roman"/>
          <w:sz w:val="27"/>
          <w:szCs w:val="27"/>
        </w:rPr>
        <w:t>антиконкурентных</w:t>
      </w:r>
      <w:proofErr w:type="spellEnd"/>
      <w:r w:rsidRPr="00317EA2">
        <w:rPr>
          <w:rFonts w:ascii="Times New Roman" w:hAnsi="Times New Roman" w:cs="Times New Roman"/>
          <w:sz w:val="27"/>
          <w:szCs w:val="27"/>
        </w:rPr>
        <w:t xml:space="preserve"> соглашениях. Так, устранена неясность в вопросе определения товарного рынка, необходимого для признания допустимым «вертикального» соглаш</w:t>
      </w:r>
      <w:r w:rsidR="007C7CDB">
        <w:rPr>
          <w:rFonts w:ascii="Times New Roman" w:hAnsi="Times New Roman" w:cs="Times New Roman"/>
          <w:sz w:val="27"/>
          <w:szCs w:val="27"/>
        </w:rPr>
        <w:t>ения. Ранее З</w:t>
      </w:r>
      <w:r w:rsidRPr="00317EA2">
        <w:rPr>
          <w:rFonts w:ascii="Times New Roman" w:hAnsi="Times New Roman" w:cs="Times New Roman"/>
          <w:sz w:val="27"/>
          <w:szCs w:val="27"/>
        </w:rPr>
        <w:t>акон предусматривал, что продавец и покупатель должны были иметь долю менее 20% на любом товарном рынке, чтобы договоренности между ними не нарушали антимонопольное законодательство. Принятые изменения закрепили, что под товарным рынком понимается только рынок товара, являющегося предметом «вертикального» соглашения. Одновременно теперь не будут считаться картельными соглашения, заключенные с предварительного согласия антимонопольного органа.</w:t>
      </w:r>
    </w:p>
    <w:p w:rsidR="005F043F" w:rsidRPr="00317EA2" w:rsidRDefault="005F043F" w:rsidP="00317EA2">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 xml:space="preserve">В-третьих, существенно детализированы составы недобросовестной конкуренции. Законом, в частности, вводится запрет на недобросовестную конкуренцию путем дискредитации, введения в заблуждение, некорректного сравнения хозяйствующего субъекта и (или) его товара с другим хозяйствующим субъектом-конкурентом и (или) его товаром, др. </w:t>
      </w:r>
    </w:p>
    <w:p w:rsidR="005F043F" w:rsidRPr="00317EA2" w:rsidRDefault="005F043F" w:rsidP="00317EA2">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В-четвертых, предусматривается, что нарушение процедуры обязательных в соответствии с законодательством РФ торгов, а также порядка заключения договоров по результатам проведения таких торгов будет являться административным правонарушением</w:t>
      </w:r>
    </w:p>
    <w:p w:rsidR="005F043F" w:rsidRPr="00317EA2" w:rsidRDefault="005F043F" w:rsidP="00317EA2">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 xml:space="preserve">По мнению </w:t>
      </w:r>
      <w:r w:rsidR="00BA2433">
        <w:rPr>
          <w:rFonts w:ascii="Times New Roman" w:hAnsi="Times New Roman" w:cs="Times New Roman"/>
          <w:sz w:val="27"/>
          <w:szCs w:val="27"/>
        </w:rPr>
        <w:t>ТПП РФ и</w:t>
      </w:r>
      <w:r w:rsidR="007C7CDB">
        <w:rPr>
          <w:rFonts w:ascii="Times New Roman" w:hAnsi="Times New Roman" w:cs="Times New Roman"/>
          <w:sz w:val="27"/>
          <w:szCs w:val="27"/>
        </w:rPr>
        <w:t xml:space="preserve"> </w:t>
      </w:r>
      <w:r w:rsidRPr="00317EA2">
        <w:rPr>
          <w:rFonts w:ascii="Times New Roman" w:hAnsi="Times New Roman" w:cs="Times New Roman"/>
          <w:sz w:val="27"/>
          <w:szCs w:val="27"/>
        </w:rPr>
        <w:t xml:space="preserve">большинства экспертов и предпринимателей «четвертый антимонопольный пакет» должен оказать существенное влияние на практику применения. Поправки в части предупреждения нарушений, процедур возбуждения и рассмотрения дел, а также административной ответственности носят характер позитивных и будут способствовать обеспечению прав и законных интересов хозяйствующих субъектов. Вместе с тем, например, обязательное согласование соглашений о совместной деятельности с антимонопольными органами направлено на фактическое установление дополнительного </w:t>
      </w:r>
      <w:proofErr w:type="gramStart"/>
      <w:r w:rsidRPr="00317EA2">
        <w:rPr>
          <w:rFonts w:ascii="Times New Roman" w:hAnsi="Times New Roman" w:cs="Times New Roman"/>
          <w:sz w:val="27"/>
          <w:szCs w:val="27"/>
        </w:rPr>
        <w:t>контроля за</w:t>
      </w:r>
      <w:proofErr w:type="gramEnd"/>
      <w:r w:rsidRPr="00317EA2">
        <w:rPr>
          <w:rFonts w:ascii="Times New Roman" w:hAnsi="Times New Roman" w:cs="Times New Roman"/>
          <w:sz w:val="27"/>
          <w:szCs w:val="27"/>
        </w:rPr>
        <w:t xml:space="preserve"> участниками рынка. </w:t>
      </w:r>
    </w:p>
    <w:p w:rsidR="005F043F" w:rsidRPr="00317EA2" w:rsidRDefault="005F043F" w:rsidP="00317EA2">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 xml:space="preserve">5 октября «четвертый антимонопольный» - Федеральный закон                                № 275-ФЗ «О внесении изменений в Федеральный закон «О защите конкуренции» и отдельные законодательные акты РФ», был подписан Президентом РФ. Он вступает в силу по истечении девяноста дней после дня его официального опубликования, за исключением отдельных положений, вступающих в силу со дня официального опубликования. </w:t>
      </w:r>
    </w:p>
    <w:p w:rsidR="00317EA2" w:rsidRPr="00317EA2" w:rsidRDefault="00317EA2" w:rsidP="00317EA2">
      <w:pPr>
        <w:spacing w:after="0" w:line="240" w:lineRule="auto"/>
        <w:ind w:firstLine="709"/>
        <w:contextualSpacing/>
        <w:jc w:val="center"/>
        <w:rPr>
          <w:rFonts w:ascii="Times New Roman" w:hAnsi="Times New Roman" w:cs="Times New Roman"/>
          <w:b/>
          <w:sz w:val="27"/>
          <w:szCs w:val="27"/>
        </w:rPr>
      </w:pPr>
    </w:p>
    <w:p w:rsidR="005F043F" w:rsidRDefault="005F043F" w:rsidP="00317EA2">
      <w:pPr>
        <w:spacing w:after="0" w:line="240" w:lineRule="auto"/>
        <w:ind w:firstLine="709"/>
        <w:contextualSpacing/>
        <w:jc w:val="center"/>
        <w:rPr>
          <w:rFonts w:ascii="Times New Roman" w:hAnsi="Times New Roman" w:cs="Times New Roman"/>
          <w:b/>
          <w:sz w:val="27"/>
          <w:szCs w:val="27"/>
        </w:rPr>
      </w:pPr>
      <w:r w:rsidRPr="00317EA2">
        <w:rPr>
          <w:rFonts w:ascii="Times New Roman" w:hAnsi="Times New Roman" w:cs="Times New Roman"/>
          <w:b/>
          <w:sz w:val="27"/>
          <w:szCs w:val="27"/>
        </w:rPr>
        <w:t>МЭР заботится об «оздоровлении» должника</w:t>
      </w:r>
    </w:p>
    <w:p w:rsidR="00317EA2" w:rsidRPr="00317EA2" w:rsidRDefault="00317EA2" w:rsidP="00317EA2">
      <w:pPr>
        <w:spacing w:after="0" w:line="240" w:lineRule="auto"/>
        <w:ind w:firstLine="709"/>
        <w:contextualSpacing/>
        <w:jc w:val="center"/>
        <w:rPr>
          <w:rFonts w:ascii="Times New Roman" w:hAnsi="Times New Roman" w:cs="Times New Roman"/>
          <w:b/>
          <w:sz w:val="27"/>
          <w:szCs w:val="27"/>
        </w:rPr>
      </w:pPr>
    </w:p>
    <w:p w:rsidR="005F043F" w:rsidRPr="00317EA2" w:rsidRDefault="005F043F" w:rsidP="00317EA2">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Минэкономразвития России разработан проект федерального закона                       «О внесении изменений в Федеральный закон «О несостоятельности (банкротстве)» и отдельные законодательные акты Российской Федерации в части регулирования вопросов применения процедур наблюдения и финансового оздоровления».</w:t>
      </w:r>
    </w:p>
    <w:p w:rsidR="005F043F" w:rsidRPr="00317EA2" w:rsidRDefault="005F043F" w:rsidP="00317EA2">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lastRenderedPageBreak/>
        <w:t xml:space="preserve">О необходимости концептуального изменения подхода к банкротству хозяйствующего субъекта - от его ликвидации к процедурам оздоровления предприниматели заявляли неоднократно. В этой связи ТПП РФ концептуально поддерживает необходимость разработки указанного законопроекта. Кроме того, будет весьма своевременным отказаться от неэффективной, долгой и дорогой процедуры наблюдения в отношении должника, предусмотренной действующей редакцией Федерального закона «О несостоятельности (банкротстве)». В настоящее время указанная процедура может длиться более года. Законопроектом предлагается ускорить инициирование дела о банкротстве на ранней стадии, в </w:t>
      </w:r>
      <w:proofErr w:type="gramStart"/>
      <w:r w:rsidRPr="00317EA2">
        <w:rPr>
          <w:rFonts w:ascii="Times New Roman" w:hAnsi="Times New Roman" w:cs="Times New Roman"/>
          <w:sz w:val="27"/>
          <w:szCs w:val="27"/>
        </w:rPr>
        <w:t>связи</w:t>
      </w:r>
      <w:proofErr w:type="gramEnd"/>
      <w:r w:rsidRPr="00317EA2">
        <w:rPr>
          <w:rFonts w:ascii="Times New Roman" w:hAnsi="Times New Roman" w:cs="Times New Roman"/>
          <w:sz w:val="27"/>
          <w:szCs w:val="27"/>
        </w:rPr>
        <w:t xml:space="preserve"> с чем у предпринимателя-должника появится возможность восстановить свою платежеспособность.    </w:t>
      </w:r>
    </w:p>
    <w:p w:rsidR="005F043F" w:rsidRPr="00317EA2" w:rsidRDefault="005F043F" w:rsidP="00317EA2">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 xml:space="preserve">Вместе с тем законопроект создает ряд рисков. </w:t>
      </w:r>
      <w:proofErr w:type="gramStart"/>
      <w:r w:rsidRPr="00317EA2">
        <w:rPr>
          <w:rFonts w:ascii="Times New Roman" w:hAnsi="Times New Roman" w:cs="Times New Roman"/>
          <w:sz w:val="27"/>
          <w:szCs w:val="27"/>
        </w:rPr>
        <w:t>Основной</w:t>
      </w:r>
      <w:proofErr w:type="gramEnd"/>
      <w:r w:rsidRPr="00317EA2">
        <w:rPr>
          <w:rFonts w:ascii="Times New Roman" w:hAnsi="Times New Roman" w:cs="Times New Roman"/>
          <w:sz w:val="27"/>
          <w:szCs w:val="27"/>
        </w:rPr>
        <w:t xml:space="preserve"> из них связан                       с  существенным расширением прав арбитражных судов и конкретных судей, рассматривающих данную категорию дел. Так, большинство экономически обоснованных решений, принимаемых в процессе рассмотрения дела о банкротстве, будут основаны на личной оценке судьи документов, представленных должником, кредиторами и третьими лицами. Например, в случае введения процедуры наблюдения, суд самостоятельно определяет, возможно ли проведение финансового оздоровления даже вопреки отчету временного арбитражного управляющего. Кроме того, в отличие от действующей редакции Закона о банкротстве, в проектируемой процедуре наблюдения не предполагается составление реестра требований кредиторов. Поэтому кредиторы на данном этапе будут лишены права принимать решение о том, следует ли переходить в процедуру финансового оздоровления. Также проект закона  позволяет суду утвердить план финансового оздоровления без согласия кредиторов и др.  </w:t>
      </w:r>
    </w:p>
    <w:p w:rsidR="005F043F" w:rsidRPr="00317EA2" w:rsidRDefault="005F043F" w:rsidP="00317EA2">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 xml:space="preserve">Таким образом, судья становится субъектом, на которого возлагается право принятия ответственного </w:t>
      </w:r>
      <w:proofErr w:type="gramStart"/>
      <w:r w:rsidRPr="00317EA2">
        <w:rPr>
          <w:rFonts w:ascii="Times New Roman" w:hAnsi="Times New Roman" w:cs="Times New Roman"/>
          <w:sz w:val="27"/>
          <w:szCs w:val="27"/>
        </w:rPr>
        <w:t>бизнес-решения</w:t>
      </w:r>
      <w:proofErr w:type="gramEnd"/>
      <w:r w:rsidRPr="00317EA2">
        <w:rPr>
          <w:rFonts w:ascii="Times New Roman" w:hAnsi="Times New Roman" w:cs="Times New Roman"/>
          <w:sz w:val="27"/>
          <w:szCs w:val="27"/>
        </w:rPr>
        <w:t>. Однако для этого он должен обладать достаточными профессиональными навыками, опытом и образованием не только в юриспруденции, но и в экономике или антикризисном управлении. В этой связи, возможно, потребуется создание специализированной системы «</w:t>
      </w:r>
      <w:proofErr w:type="spellStart"/>
      <w:r w:rsidRPr="00317EA2">
        <w:rPr>
          <w:rFonts w:ascii="Times New Roman" w:hAnsi="Times New Roman" w:cs="Times New Roman"/>
          <w:sz w:val="27"/>
          <w:szCs w:val="27"/>
        </w:rPr>
        <w:t>банкротных</w:t>
      </w:r>
      <w:proofErr w:type="spellEnd"/>
      <w:r w:rsidRPr="00317EA2">
        <w:rPr>
          <w:rFonts w:ascii="Times New Roman" w:hAnsi="Times New Roman" w:cs="Times New Roman"/>
          <w:sz w:val="27"/>
          <w:szCs w:val="27"/>
        </w:rPr>
        <w:t xml:space="preserve">» арбитражных судов и повышение экономической грамотности судейского состава.  </w:t>
      </w:r>
    </w:p>
    <w:p w:rsidR="005F043F" w:rsidRPr="00317EA2" w:rsidRDefault="005F043F" w:rsidP="00317EA2">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 xml:space="preserve">В настоящее время текст законопроекта проходит стадию обсуждения с целью установления впоследствии разумного баланса между интересами кредиторов и должника, а также разработки действенного механизма финансового оздоровления предпринимателя-банкрота. ТПП РФ подготовлено заключение по законопроекту и направлено в Государственно-правовое управление Президента РФ. </w:t>
      </w:r>
    </w:p>
    <w:p w:rsidR="005F043F" w:rsidRPr="00317EA2" w:rsidRDefault="005F043F" w:rsidP="00317EA2">
      <w:pPr>
        <w:spacing w:after="0" w:line="240" w:lineRule="auto"/>
        <w:ind w:firstLine="709"/>
        <w:contextualSpacing/>
        <w:jc w:val="both"/>
        <w:rPr>
          <w:rFonts w:ascii="Times New Roman" w:hAnsi="Times New Roman" w:cs="Times New Roman"/>
          <w:sz w:val="27"/>
          <w:szCs w:val="27"/>
        </w:rPr>
      </w:pPr>
    </w:p>
    <w:p w:rsidR="005F043F" w:rsidRDefault="005F043F" w:rsidP="00317EA2">
      <w:pPr>
        <w:autoSpaceDE w:val="0"/>
        <w:autoSpaceDN w:val="0"/>
        <w:adjustRightInd w:val="0"/>
        <w:spacing w:after="0" w:line="240" w:lineRule="auto"/>
        <w:contextualSpacing/>
        <w:jc w:val="center"/>
        <w:rPr>
          <w:rFonts w:ascii="Times New Roman" w:hAnsi="Times New Roman" w:cs="Times New Roman"/>
          <w:b/>
          <w:bCs/>
          <w:sz w:val="27"/>
          <w:szCs w:val="27"/>
        </w:rPr>
      </w:pPr>
      <w:r w:rsidRPr="00317EA2">
        <w:rPr>
          <w:rFonts w:ascii="Times New Roman" w:hAnsi="Times New Roman" w:cs="Times New Roman"/>
          <w:b/>
          <w:bCs/>
          <w:sz w:val="27"/>
          <w:szCs w:val="27"/>
        </w:rPr>
        <w:t>Планируется кардинальная реформа кадастровой оценки</w:t>
      </w:r>
    </w:p>
    <w:p w:rsidR="00317EA2" w:rsidRPr="00317EA2" w:rsidRDefault="00317EA2" w:rsidP="00317EA2">
      <w:pPr>
        <w:autoSpaceDE w:val="0"/>
        <w:autoSpaceDN w:val="0"/>
        <w:adjustRightInd w:val="0"/>
        <w:spacing w:after="0" w:line="240" w:lineRule="auto"/>
        <w:contextualSpacing/>
        <w:jc w:val="center"/>
        <w:rPr>
          <w:rFonts w:ascii="Times New Roman" w:hAnsi="Times New Roman" w:cs="Times New Roman"/>
          <w:b/>
          <w:bCs/>
          <w:sz w:val="27"/>
          <w:szCs w:val="27"/>
        </w:rPr>
      </w:pPr>
    </w:p>
    <w:p w:rsidR="005F043F" w:rsidRPr="00E22437" w:rsidRDefault="005F043F" w:rsidP="00317EA2">
      <w:pPr>
        <w:autoSpaceDE w:val="0"/>
        <w:autoSpaceDN w:val="0"/>
        <w:adjustRightInd w:val="0"/>
        <w:spacing w:after="0" w:line="240" w:lineRule="auto"/>
        <w:ind w:firstLine="709"/>
        <w:contextualSpacing/>
        <w:jc w:val="both"/>
        <w:outlineLvl w:val="0"/>
        <w:rPr>
          <w:rFonts w:ascii="Times New Roman" w:hAnsi="Times New Roman" w:cs="Times New Roman"/>
          <w:sz w:val="27"/>
          <w:szCs w:val="27"/>
        </w:rPr>
      </w:pPr>
      <w:r w:rsidRPr="00317EA2">
        <w:rPr>
          <w:rFonts w:ascii="Times New Roman" w:hAnsi="Times New Roman" w:cs="Times New Roman"/>
          <w:sz w:val="27"/>
          <w:szCs w:val="27"/>
        </w:rPr>
        <w:t xml:space="preserve">В настоящее время проходит общественное обсуждение проект федерального закона «О государственной кадастровой оценке», разработанный Минэкономразвития России. </w:t>
      </w:r>
      <w:r w:rsidRPr="00E22437">
        <w:rPr>
          <w:rFonts w:ascii="Times New Roman" w:hAnsi="Times New Roman" w:cs="Times New Roman"/>
          <w:sz w:val="27"/>
          <w:szCs w:val="27"/>
        </w:rPr>
        <w:t xml:space="preserve">Разработчики обосновывают подготовку законопроекта необходимостью устранения недостатков действующей системы </w:t>
      </w:r>
      <w:r w:rsidRPr="00E22437">
        <w:rPr>
          <w:rFonts w:ascii="Times New Roman" w:hAnsi="Times New Roman" w:cs="Times New Roman"/>
          <w:sz w:val="27"/>
          <w:szCs w:val="27"/>
        </w:rPr>
        <w:lastRenderedPageBreak/>
        <w:t xml:space="preserve">проведения государственной кадастровой оценки, повышения качества работ по определению кадастровой стоимости, уменьшения числа судебных споров. </w:t>
      </w:r>
    </w:p>
    <w:p w:rsidR="005F043F" w:rsidRPr="00317EA2" w:rsidRDefault="005F043F" w:rsidP="00317EA2">
      <w:pPr>
        <w:autoSpaceDE w:val="0"/>
        <w:autoSpaceDN w:val="0"/>
        <w:adjustRightInd w:val="0"/>
        <w:spacing w:after="0" w:line="240" w:lineRule="auto"/>
        <w:ind w:firstLine="709"/>
        <w:contextualSpacing/>
        <w:jc w:val="both"/>
        <w:outlineLvl w:val="0"/>
        <w:rPr>
          <w:rFonts w:ascii="Times New Roman" w:hAnsi="Times New Roman" w:cs="Times New Roman"/>
          <w:sz w:val="27"/>
          <w:szCs w:val="27"/>
        </w:rPr>
      </w:pPr>
      <w:r w:rsidRPr="00317EA2">
        <w:rPr>
          <w:rFonts w:ascii="Times New Roman" w:hAnsi="Times New Roman" w:cs="Times New Roman"/>
          <w:sz w:val="27"/>
          <w:szCs w:val="27"/>
        </w:rPr>
        <w:t xml:space="preserve">Законопроект полностью изменяет порядок проведения государственной кадастровой оценки (далее - ГКО), который в настоящее время регулируется положениями Федерального закона от 29 июля 1998 г. № 135-ФЗ «Об оценочной деятельности в Российской Федерации». В соответствии с проектом независимые оценщики полностью исключаются из процесса кадастровой оценки. Определение кадастровой стоимости при проведении ГКО будет осуществляться специализированными бюджетными учреждениями. Помимо определения кадастровой стоимости бюджетное учреждение должно совмещать функции по рассмотрению заявлений заинтересованных лиц об ошибках и замечаниях, допущенных при определении кадастровой стоимости, и осуществлять пересчет кадастровой стоимости по итогам рассмотрения замечаний. </w:t>
      </w:r>
    </w:p>
    <w:p w:rsidR="005F043F" w:rsidRPr="00317EA2" w:rsidRDefault="005F043F" w:rsidP="00317EA2">
      <w:pPr>
        <w:autoSpaceDE w:val="0"/>
        <w:autoSpaceDN w:val="0"/>
        <w:adjustRightInd w:val="0"/>
        <w:spacing w:after="0" w:line="240" w:lineRule="auto"/>
        <w:ind w:firstLine="709"/>
        <w:contextualSpacing/>
        <w:jc w:val="both"/>
        <w:outlineLvl w:val="0"/>
        <w:rPr>
          <w:rFonts w:ascii="Times New Roman" w:hAnsi="Times New Roman" w:cs="Times New Roman"/>
          <w:sz w:val="27"/>
          <w:szCs w:val="27"/>
        </w:rPr>
      </w:pPr>
      <w:r w:rsidRPr="00317EA2">
        <w:rPr>
          <w:rFonts w:ascii="Times New Roman" w:hAnsi="Times New Roman" w:cs="Times New Roman"/>
          <w:sz w:val="27"/>
          <w:szCs w:val="27"/>
        </w:rPr>
        <w:t xml:space="preserve">В соответствии с новым порядком заказчиком кадастровой оценки является уполномоченный орган субъекта РФ, который передает полномочия по проведению кадастровой оценки бюджетному учреждению, учредителем которого он является. Фактически заказчик получает полный контроль над исполнителем, что не соответствует принципу независимости оценщика. </w:t>
      </w:r>
    </w:p>
    <w:p w:rsidR="005F043F" w:rsidRPr="00317EA2" w:rsidRDefault="005F043F" w:rsidP="00317EA2">
      <w:pPr>
        <w:autoSpaceDE w:val="0"/>
        <w:autoSpaceDN w:val="0"/>
        <w:adjustRightInd w:val="0"/>
        <w:spacing w:after="0" w:line="240" w:lineRule="auto"/>
        <w:ind w:firstLine="709"/>
        <w:contextualSpacing/>
        <w:jc w:val="both"/>
        <w:outlineLvl w:val="0"/>
        <w:rPr>
          <w:rFonts w:ascii="Times New Roman" w:hAnsi="Times New Roman" w:cs="Times New Roman"/>
          <w:sz w:val="27"/>
          <w:szCs w:val="27"/>
        </w:rPr>
      </w:pPr>
      <w:r w:rsidRPr="00317EA2">
        <w:rPr>
          <w:rFonts w:ascii="Times New Roman" w:eastAsia="Calibri" w:hAnsi="Times New Roman" w:cs="Times New Roman"/>
          <w:sz w:val="27"/>
          <w:szCs w:val="27"/>
        </w:rPr>
        <w:t>В отличие от действующего порядка новым порядком ГКО не предусмотрена экспертиза отчета об оценке, подготовленного бюджетным учреждением. Это позволит уменьшить расходы бюджета на проведение ГКО, но одновременно может снизить качество отчета. О</w:t>
      </w:r>
      <w:r w:rsidRPr="00317EA2">
        <w:rPr>
          <w:rFonts w:ascii="Times New Roman" w:hAnsi="Times New Roman" w:cs="Times New Roman"/>
          <w:sz w:val="27"/>
          <w:szCs w:val="27"/>
        </w:rPr>
        <w:t xml:space="preserve">тветственность бюджетного учреждения или привлеченных им лиц за качество проведения ГКО законопроектом тоже не предусмотрена. </w:t>
      </w:r>
    </w:p>
    <w:p w:rsidR="005F043F" w:rsidRPr="00317EA2" w:rsidRDefault="005F043F" w:rsidP="00317EA2">
      <w:pPr>
        <w:autoSpaceDE w:val="0"/>
        <w:autoSpaceDN w:val="0"/>
        <w:adjustRightInd w:val="0"/>
        <w:spacing w:after="0" w:line="240" w:lineRule="auto"/>
        <w:ind w:firstLine="709"/>
        <w:contextualSpacing/>
        <w:jc w:val="both"/>
        <w:outlineLvl w:val="0"/>
        <w:rPr>
          <w:rFonts w:ascii="Times New Roman" w:hAnsi="Times New Roman" w:cs="Times New Roman"/>
          <w:sz w:val="27"/>
          <w:szCs w:val="27"/>
        </w:rPr>
      </w:pPr>
      <w:r w:rsidRPr="00317EA2">
        <w:rPr>
          <w:rFonts w:ascii="Times New Roman" w:hAnsi="Times New Roman" w:cs="Times New Roman"/>
          <w:sz w:val="27"/>
          <w:szCs w:val="27"/>
        </w:rPr>
        <w:t xml:space="preserve">В соответствии с законопроектом </w:t>
      </w:r>
      <w:r w:rsidRPr="00317EA2">
        <w:rPr>
          <w:rFonts w:ascii="Times New Roman" w:eastAsia="Calibri" w:hAnsi="Times New Roman" w:cs="Times New Roman"/>
          <w:sz w:val="27"/>
          <w:szCs w:val="27"/>
        </w:rPr>
        <w:t>остается</w:t>
      </w:r>
      <w:r w:rsidRPr="00317EA2">
        <w:rPr>
          <w:rFonts w:ascii="Times New Roman" w:hAnsi="Times New Roman" w:cs="Times New Roman"/>
          <w:sz w:val="27"/>
          <w:szCs w:val="27"/>
        </w:rPr>
        <w:t xml:space="preserve"> </w:t>
      </w:r>
      <w:r w:rsidRPr="00317EA2">
        <w:rPr>
          <w:rFonts w:ascii="Times New Roman" w:eastAsia="Calibri" w:hAnsi="Times New Roman" w:cs="Times New Roman"/>
          <w:sz w:val="27"/>
          <w:szCs w:val="27"/>
        </w:rPr>
        <w:t>обязательный</w:t>
      </w:r>
      <w:r w:rsidRPr="00317EA2">
        <w:rPr>
          <w:rFonts w:ascii="Times New Roman" w:hAnsi="Times New Roman" w:cs="Times New Roman"/>
          <w:sz w:val="27"/>
          <w:szCs w:val="27"/>
        </w:rPr>
        <w:t xml:space="preserve"> досудебный порядок обжалования </w:t>
      </w:r>
      <w:r w:rsidRPr="00317EA2">
        <w:rPr>
          <w:rFonts w:ascii="Times New Roman" w:eastAsia="Calibri" w:hAnsi="Times New Roman" w:cs="Times New Roman"/>
          <w:sz w:val="27"/>
          <w:szCs w:val="27"/>
        </w:rPr>
        <w:t>результатов определения кадастровой стоимости. В</w:t>
      </w:r>
      <w:r w:rsidRPr="00317EA2">
        <w:rPr>
          <w:rFonts w:ascii="Times New Roman" w:hAnsi="Times New Roman" w:cs="Times New Roman"/>
          <w:sz w:val="27"/>
          <w:szCs w:val="27"/>
        </w:rPr>
        <w:t>место действующих Комиссий по рассмотрению споров о результатах определения кадастровой стоимости создаются Межведомственные коллегии при органе кадастрового учета на территории соответствующего субъекта РФ, которые формируются из представителей государственных органов и Банка России. Включение представителей предпринимательского и профессионального сообщества в состав коллегий не планируется, что может существенно снизить качество рассмотрения жалоб и эффективность оспаривания результатов определения кадастровой стоимости.</w:t>
      </w:r>
    </w:p>
    <w:p w:rsidR="005F043F" w:rsidRPr="00317EA2" w:rsidRDefault="005F043F" w:rsidP="00317EA2">
      <w:pPr>
        <w:autoSpaceDE w:val="0"/>
        <w:autoSpaceDN w:val="0"/>
        <w:adjustRightInd w:val="0"/>
        <w:spacing w:after="0" w:line="240" w:lineRule="auto"/>
        <w:ind w:firstLine="709"/>
        <w:contextualSpacing/>
        <w:jc w:val="both"/>
        <w:outlineLvl w:val="0"/>
        <w:rPr>
          <w:rFonts w:ascii="Times New Roman" w:hAnsi="Times New Roman" w:cs="Times New Roman"/>
          <w:sz w:val="27"/>
          <w:szCs w:val="27"/>
        </w:rPr>
      </w:pPr>
      <w:r w:rsidRPr="00317EA2">
        <w:rPr>
          <w:rFonts w:ascii="Times New Roman" w:hAnsi="Times New Roman" w:cs="Times New Roman"/>
          <w:sz w:val="27"/>
          <w:szCs w:val="27"/>
        </w:rPr>
        <w:t>По мнению ТПП РФ, новый порядок не будет способствовать объективному определению кадастровой стоимости и уменьшению числа судебных споров о результатах ее определения. Предложенная реформа требует серьезной подготовительной работы и обсуждения с экспертным сообществом.</w:t>
      </w:r>
    </w:p>
    <w:p w:rsidR="005F043F" w:rsidRPr="00317EA2" w:rsidRDefault="005F043F" w:rsidP="00317EA2">
      <w:pPr>
        <w:autoSpaceDE w:val="0"/>
        <w:autoSpaceDN w:val="0"/>
        <w:adjustRightInd w:val="0"/>
        <w:spacing w:after="0" w:line="240" w:lineRule="auto"/>
        <w:ind w:firstLine="709"/>
        <w:contextualSpacing/>
        <w:jc w:val="both"/>
        <w:outlineLvl w:val="0"/>
        <w:rPr>
          <w:rFonts w:ascii="Times New Roman" w:hAnsi="Times New Roman" w:cs="Times New Roman"/>
          <w:b/>
          <w:sz w:val="27"/>
          <w:szCs w:val="27"/>
        </w:rPr>
      </w:pPr>
    </w:p>
    <w:p w:rsidR="005F043F" w:rsidRDefault="005F043F" w:rsidP="00317EA2">
      <w:pPr>
        <w:autoSpaceDE w:val="0"/>
        <w:autoSpaceDN w:val="0"/>
        <w:adjustRightInd w:val="0"/>
        <w:spacing w:after="0" w:line="240" w:lineRule="auto"/>
        <w:contextualSpacing/>
        <w:jc w:val="center"/>
        <w:outlineLvl w:val="0"/>
        <w:rPr>
          <w:rFonts w:ascii="Times New Roman" w:hAnsi="Times New Roman" w:cs="Times New Roman"/>
          <w:b/>
          <w:sz w:val="27"/>
          <w:szCs w:val="27"/>
        </w:rPr>
      </w:pPr>
      <w:r w:rsidRPr="00317EA2">
        <w:rPr>
          <w:rFonts w:ascii="Times New Roman" w:hAnsi="Times New Roman" w:cs="Times New Roman"/>
          <w:b/>
          <w:sz w:val="27"/>
          <w:szCs w:val="27"/>
        </w:rPr>
        <w:t>Работа или пенсия</w:t>
      </w:r>
    </w:p>
    <w:p w:rsidR="00317EA2" w:rsidRPr="00317EA2" w:rsidRDefault="00317EA2" w:rsidP="00317EA2">
      <w:pPr>
        <w:autoSpaceDE w:val="0"/>
        <w:autoSpaceDN w:val="0"/>
        <w:adjustRightInd w:val="0"/>
        <w:spacing w:after="0" w:line="240" w:lineRule="auto"/>
        <w:contextualSpacing/>
        <w:jc w:val="center"/>
        <w:outlineLvl w:val="0"/>
        <w:rPr>
          <w:rFonts w:ascii="Times New Roman" w:hAnsi="Times New Roman" w:cs="Times New Roman"/>
          <w:b/>
          <w:sz w:val="27"/>
          <w:szCs w:val="27"/>
        </w:rPr>
      </w:pPr>
    </w:p>
    <w:p w:rsidR="005F043F" w:rsidRPr="00317EA2" w:rsidRDefault="005F043F" w:rsidP="00317EA2">
      <w:pPr>
        <w:autoSpaceDE w:val="0"/>
        <w:autoSpaceDN w:val="0"/>
        <w:adjustRightInd w:val="0"/>
        <w:spacing w:after="0" w:line="240" w:lineRule="auto"/>
        <w:ind w:firstLine="709"/>
        <w:contextualSpacing/>
        <w:jc w:val="both"/>
        <w:outlineLvl w:val="0"/>
        <w:rPr>
          <w:rFonts w:ascii="Times New Roman" w:hAnsi="Times New Roman" w:cs="Times New Roman"/>
          <w:sz w:val="27"/>
          <w:szCs w:val="27"/>
        </w:rPr>
      </w:pPr>
      <w:r w:rsidRPr="00317EA2">
        <w:rPr>
          <w:rFonts w:ascii="Times New Roman" w:hAnsi="Times New Roman" w:cs="Times New Roman"/>
          <w:sz w:val="27"/>
          <w:szCs w:val="27"/>
        </w:rPr>
        <w:t xml:space="preserve">Минтруд России доработал проект федерального закона «Об особенностях выплаты пенсий работающим пенсионерам», </w:t>
      </w:r>
      <w:proofErr w:type="gramStart"/>
      <w:r w:rsidRPr="00317EA2">
        <w:rPr>
          <w:rFonts w:ascii="Times New Roman" w:hAnsi="Times New Roman" w:cs="Times New Roman"/>
          <w:sz w:val="27"/>
          <w:szCs w:val="27"/>
        </w:rPr>
        <w:t>вступление</w:t>
      </w:r>
      <w:proofErr w:type="gramEnd"/>
      <w:r w:rsidRPr="00317EA2">
        <w:rPr>
          <w:rFonts w:ascii="Times New Roman" w:hAnsi="Times New Roman" w:cs="Times New Roman"/>
          <w:sz w:val="27"/>
          <w:szCs w:val="27"/>
        </w:rPr>
        <w:t xml:space="preserve"> в силу которого предполагается с 1 января 2017 года. Проект предусматривает приостановку выплаты страховой пенсии с 1 июля наступившего года, если за предшествующий календарный год общая сумма выплат и иных вознаграждений работающего пенсионера превысила 1 млн. рублей. Если в дальнейшем </w:t>
      </w:r>
      <w:r w:rsidRPr="00317EA2">
        <w:rPr>
          <w:rFonts w:ascii="Times New Roman" w:hAnsi="Times New Roman" w:cs="Times New Roman"/>
          <w:sz w:val="27"/>
          <w:szCs w:val="27"/>
        </w:rPr>
        <w:lastRenderedPageBreak/>
        <w:t xml:space="preserve">заработок работающего пенсионера станет меньше 1 млн. рублей за календарный год, выплата пенсии возобновится с 1 июля следующего года. </w:t>
      </w:r>
    </w:p>
    <w:p w:rsidR="005F043F" w:rsidRPr="00317EA2" w:rsidRDefault="005F043F" w:rsidP="00317EA2">
      <w:pPr>
        <w:autoSpaceDE w:val="0"/>
        <w:autoSpaceDN w:val="0"/>
        <w:adjustRightInd w:val="0"/>
        <w:spacing w:after="0" w:line="240" w:lineRule="auto"/>
        <w:ind w:firstLine="709"/>
        <w:contextualSpacing/>
        <w:jc w:val="both"/>
        <w:outlineLvl w:val="0"/>
        <w:rPr>
          <w:rFonts w:ascii="Times New Roman" w:hAnsi="Times New Roman" w:cs="Times New Roman"/>
          <w:sz w:val="27"/>
          <w:szCs w:val="27"/>
        </w:rPr>
      </w:pPr>
      <w:r w:rsidRPr="00317EA2">
        <w:rPr>
          <w:rFonts w:ascii="Times New Roman" w:hAnsi="Times New Roman" w:cs="Times New Roman"/>
          <w:sz w:val="27"/>
          <w:szCs w:val="27"/>
        </w:rPr>
        <w:t>Следует отметить, что редакция доработанного проекта закона стала еще более «жесткой» по отношению к работающим пенсионерам. Если первая редакция проекта предусматривала, что по истечении 10 лет после наступления пенсионного возраста пенсия работающему пенсионеру буде</w:t>
      </w:r>
      <w:r w:rsidR="00BA2433">
        <w:rPr>
          <w:rFonts w:ascii="Times New Roman" w:hAnsi="Times New Roman" w:cs="Times New Roman"/>
          <w:sz w:val="27"/>
          <w:szCs w:val="27"/>
        </w:rPr>
        <w:t>т выплачиваться без ограничений,</w:t>
      </w:r>
      <w:r w:rsidRPr="00317EA2">
        <w:rPr>
          <w:rFonts w:ascii="Times New Roman" w:hAnsi="Times New Roman" w:cs="Times New Roman"/>
          <w:sz w:val="27"/>
          <w:szCs w:val="27"/>
        </w:rPr>
        <w:t xml:space="preserve"> то в рассматриваемом варианте приостановка выплаты пенсии действует для работающего пенсионера бессрочно (т.е. пожизненно). Таким образом, пенсионеры, сохранившие трудоспособность или получающие авторское вознаграждение, могут так и не дождаться заработанной ими страховой пенсии. </w:t>
      </w:r>
    </w:p>
    <w:p w:rsidR="005F043F" w:rsidRPr="00317EA2" w:rsidRDefault="005F043F" w:rsidP="00317EA2">
      <w:pPr>
        <w:autoSpaceDE w:val="0"/>
        <w:autoSpaceDN w:val="0"/>
        <w:adjustRightInd w:val="0"/>
        <w:spacing w:after="0" w:line="240" w:lineRule="auto"/>
        <w:ind w:firstLine="709"/>
        <w:contextualSpacing/>
        <w:jc w:val="both"/>
        <w:outlineLvl w:val="0"/>
        <w:rPr>
          <w:rFonts w:ascii="Times New Roman" w:hAnsi="Times New Roman" w:cs="Times New Roman"/>
          <w:sz w:val="27"/>
          <w:szCs w:val="27"/>
        </w:rPr>
      </w:pPr>
      <w:r w:rsidRPr="00317EA2">
        <w:rPr>
          <w:rFonts w:ascii="Times New Roman" w:hAnsi="Times New Roman" w:cs="Times New Roman"/>
          <w:sz w:val="27"/>
          <w:szCs w:val="27"/>
        </w:rPr>
        <w:t>По информации разработчиков проекта, пороговая сумма в 1 млн. рублей не имеет финансово-экономического обоснования. При этом дальнейшая ее индексация в связи с инфляцией не планируется, поскольку целью законопроекта является прекращение выплаты страховой пенсии работающим пенсионерам в принципе.</w:t>
      </w:r>
    </w:p>
    <w:p w:rsidR="005F043F" w:rsidRPr="00317EA2" w:rsidRDefault="005F043F" w:rsidP="00317EA2">
      <w:pPr>
        <w:autoSpaceDE w:val="0"/>
        <w:autoSpaceDN w:val="0"/>
        <w:adjustRightInd w:val="0"/>
        <w:spacing w:after="0" w:line="240" w:lineRule="auto"/>
        <w:ind w:firstLine="709"/>
        <w:contextualSpacing/>
        <w:jc w:val="both"/>
        <w:outlineLvl w:val="0"/>
        <w:rPr>
          <w:rFonts w:ascii="Times New Roman" w:hAnsi="Times New Roman" w:cs="Times New Roman"/>
          <w:sz w:val="27"/>
          <w:szCs w:val="27"/>
        </w:rPr>
      </w:pPr>
      <w:r w:rsidRPr="00317EA2">
        <w:rPr>
          <w:rFonts w:ascii="Times New Roman" w:hAnsi="Times New Roman" w:cs="Times New Roman"/>
          <w:sz w:val="27"/>
          <w:szCs w:val="27"/>
        </w:rPr>
        <w:t xml:space="preserve">Проект не учитывают ситуацию, когда неработающий пенсионер может однократно выполнить работу по договору гражданско-правового характера или получить авторское вознаграждение, выплаты по которым превышают пороговую сумму. Полученные средства могут быть израсходованы на текущие нужды, лечение, тем более что сумма не является сверхвысокой. После этого нетрудоспособному по возрасту человеку, не имеющему помимо пенсии иных регулярных источников дохода, выплата пенсии будет приостановлена на год, что может иметь для него непредсказуемые последствия. </w:t>
      </w:r>
    </w:p>
    <w:p w:rsidR="005F043F" w:rsidRPr="00317EA2" w:rsidRDefault="005F043F" w:rsidP="00317EA2">
      <w:pPr>
        <w:autoSpaceDE w:val="0"/>
        <w:autoSpaceDN w:val="0"/>
        <w:adjustRightInd w:val="0"/>
        <w:spacing w:after="0" w:line="240" w:lineRule="auto"/>
        <w:ind w:firstLine="709"/>
        <w:contextualSpacing/>
        <w:jc w:val="both"/>
        <w:outlineLvl w:val="0"/>
        <w:rPr>
          <w:rFonts w:ascii="Times New Roman" w:hAnsi="Times New Roman" w:cs="Times New Roman"/>
          <w:sz w:val="27"/>
          <w:szCs w:val="27"/>
        </w:rPr>
      </w:pPr>
      <w:r w:rsidRPr="00317EA2">
        <w:rPr>
          <w:rFonts w:ascii="Times New Roman" w:hAnsi="Times New Roman" w:cs="Times New Roman"/>
          <w:sz w:val="27"/>
          <w:szCs w:val="27"/>
        </w:rPr>
        <w:t>По мнению ТПП РФ, законопроект не может быть поддержан в представленной редакции по следующим основаниям:</w:t>
      </w:r>
    </w:p>
    <w:p w:rsidR="005F043F" w:rsidRPr="00317EA2" w:rsidRDefault="005F043F" w:rsidP="00317EA2">
      <w:pPr>
        <w:autoSpaceDE w:val="0"/>
        <w:autoSpaceDN w:val="0"/>
        <w:adjustRightInd w:val="0"/>
        <w:spacing w:after="0" w:line="240" w:lineRule="auto"/>
        <w:ind w:firstLine="709"/>
        <w:contextualSpacing/>
        <w:jc w:val="both"/>
        <w:outlineLvl w:val="0"/>
        <w:rPr>
          <w:rFonts w:ascii="Times New Roman" w:hAnsi="Times New Roman" w:cs="Times New Roman"/>
          <w:sz w:val="27"/>
          <w:szCs w:val="27"/>
        </w:rPr>
      </w:pPr>
      <w:r w:rsidRPr="00317EA2">
        <w:rPr>
          <w:rFonts w:ascii="Times New Roman" w:hAnsi="Times New Roman" w:cs="Times New Roman"/>
          <w:sz w:val="27"/>
          <w:szCs w:val="27"/>
        </w:rPr>
        <w:t>- размер пороговой суммы является заниженным, его индексация не предусмотрена, при определении пороговой суммы не учитывается наличие иждивенцев у работающего пенсионера, различие в средней номинальной начисленной заработной плате по субъектам РФ (до 4 раз);</w:t>
      </w:r>
    </w:p>
    <w:p w:rsidR="005F043F" w:rsidRPr="00317EA2" w:rsidRDefault="005F043F" w:rsidP="00317EA2">
      <w:pPr>
        <w:autoSpaceDE w:val="0"/>
        <w:autoSpaceDN w:val="0"/>
        <w:adjustRightInd w:val="0"/>
        <w:spacing w:after="0" w:line="240" w:lineRule="auto"/>
        <w:ind w:firstLine="709"/>
        <w:contextualSpacing/>
        <w:jc w:val="both"/>
        <w:outlineLvl w:val="0"/>
        <w:rPr>
          <w:rFonts w:ascii="Times New Roman" w:hAnsi="Times New Roman" w:cs="Times New Roman"/>
          <w:sz w:val="27"/>
          <w:szCs w:val="27"/>
        </w:rPr>
      </w:pPr>
      <w:r w:rsidRPr="00317EA2">
        <w:rPr>
          <w:rFonts w:ascii="Times New Roman" w:hAnsi="Times New Roman" w:cs="Times New Roman"/>
          <w:sz w:val="27"/>
          <w:szCs w:val="27"/>
        </w:rPr>
        <w:t>- с учетом средней продолжительности жизни в России пенсионеры, чей заработок превышает установленный уровень, фактически лишаются возможности получить заработанную ими страховую пенсию;</w:t>
      </w:r>
    </w:p>
    <w:p w:rsidR="005F043F" w:rsidRPr="00317EA2" w:rsidRDefault="005F043F" w:rsidP="00317EA2">
      <w:pPr>
        <w:autoSpaceDE w:val="0"/>
        <w:autoSpaceDN w:val="0"/>
        <w:adjustRightInd w:val="0"/>
        <w:spacing w:after="0" w:line="240" w:lineRule="auto"/>
        <w:ind w:firstLine="709"/>
        <w:contextualSpacing/>
        <w:jc w:val="both"/>
        <w:outlineLvl w:val="0"/>
        <w:rPr>
          <w:rFonts w:ascii="Times New Roman" w:hAnsi="Times New Roman" w:cs="Times New Roman"/>
          <w:sz w:val="27"/>
          <w:szCs w:val="27"/>
        </w:rPr>
      </w:pPr>
      <w:r w:rsidRPr="00317EA2">
        <w:rPr>
          <w:rFonts w:ascii="Times New Roman" w:hAnsi="Times New Roman" w:cs="Times New Roman"/>
          <w:sz w:val="27"/>
          <w:szCs w:val="27"/>
        </w:rPr>
        <w:t>- приостановление выплаты пенсий ра</w:t>
      </w:r>
      <w:r w:rsidR="00BA2433">
        <w:rPr>
          <w:rFonts w:ascii="Times New Roman" w:hAnsi="Times New Roman" w:cs="Times New Roman"/>
          <w:sz w:val="27"/>
          <w:szCs w:val="27"/>
        </w:rPr>
        <w:t>ботающим пенсионерам, получающим</w:t>
      </w:r>
      <w:r w:rsidRPr="00317EA2">
        <w:rPr>
          <w:rFonts w:ascii="Times New Roman" w:hAnsi="Times New Roman" w:cs="Times New Roman"/>
          <w:sz w:val="27"/>
          <w:szCs w:val="27"/>
        </w:rPr>
        <w:t xml:space="preserve"> пенсию в соответствии с действующим законодательством, не соответствует положениям Конституции Российской Федерации;</w:t>
      </w:r>
    </w:p>
    <w:p w:rsidR="005F043F" w:rsidRPr="00317EA2" w:rsidRDefault="005F043F" w:rsidP="00317EA2">
      <w:pPr>
        <w:autoSpaceDE w:val="0"/>
        <w:autoSpaceDN w:val="0"/>
        <w:adjustRightInd w:val="0"/>
        <w:spacing w:after="0" w:line="240" w:lineRule="auto"/>
        <w:ind w:firstLine="709"/>
        <w:contextualSpacing/>
        <w:jc w:val="both"/>
        <w:outlineLvl w:val="0"/>
        <w:rPr>
          <w:rFonts w:ascii="Times New Roman" w:hAnsi="Times New Roman" w:cs="Times New Roman"/>
          <w:sz w:val="27"/>
          <w:szCs w:val="27"/>
        </w:rPr>
      </w:pPr>
      <w:r w:rsidRPr="00317EA2">
        <w:rPr>
          <w:rFonts w:ascii="Times New Roman" w:hAnsi="Times New Roman" w:cs="Times New Roman"/>
          <w:sz w:val="27"/>
          <w:szCs w:val="27"/>
        </w:rPr>
        <w:t xml:space="preserve">- приостановление выплаты пенсий повлечет сокрытие части доходов работающими пенсионерами либо вывод их «в тень», а также </w:t>
      </w:r>
      <w:proofErr w:type="gramStart"/>
      <w:r w:rsidRPr="00317EA2">
        <w:rPr>
          <w:rFonts w:ascii="Times New Roman" w:hAnsi="Times New Roman" w:cs="Times New Roman"/>
          <w:sz w:val="27"/>
          <w:szCs w:val="27"/>
        </w:rPr>
        <w:t>утрату</w:t>
      </w:r>
      <w:proofErr w:type="gramEnd"/>
      <w:r w:rsidRPr="00317EA2">
        <w:rPr>
          <w:rFonts w:ascii="Times New Roman" w:hAnsi="Times New Roman" w:cs="Times New Roman"/>
          <w:sz w:val="27"/>
          <w:szCs w:val="27"/>
        </w:rPr>
        <w:t xml:space="preserve"> высококвалифицированных специалистов в сфере науки и промышленности в связи с выходом на пенсию. </w:t>
      </w:r>
    </w:p>
    <w:p w:rsidR="005F043F" w:rsidRPr="00317EA2" w:rsidRDefault="005F043F" w:rsidP="00317EA2">
      <w:pPr>
        <w:autoSpaceDE w:val="0"/>
        <w:autoSpaceDN w:val="0"/>
        <w:adjustRightInd w:val="0"/>
        <w:spacing w:after="0" w:line="240" w:lineRule="auto"/>
        <w:ind w:firstLine="709"/>
        <w:contextualSpacing/>
        <w:jc w:val="both"/>
        <w:outlineLvl w:val="0"/>
        <w:rPr>
          <w:rFonts w:ascii="Times New Roman" w:hAnsi="Times New Roman" w:cs="Times New Roman"/>
          <w:sz w:val="27"/>
          <w:szCs w:val="27"/>
        </w:rPr>
      </w:pPr>
      <w:r w:rsidRPr="00317EA2">
        <w:rPr>
          <w:rFonts w:ascii="Times New Roman" w:hAnsi="Times New Roman" w:cs="Times New Roman"/>
          <w:sz w:val="27"/>
          <w:szCs w:val="27"/>
        </w:rPr>
        <w:t>В октябре проект закона планируется рассмотреть на Российской трехсторонней комиссии по регулированию социально-трудовых отношений.</w:t>
      </w:r>
    </w:p>
    <w:p w:rsidR="005F043F" w:rsidRPr="00317EA2" w:rsidRDefault="005F043F" w:rsidP="00317EA2">
      <w:pPr>
        <w:autoSpaceDE w:val="0"/>
        <w:autoSpaceDN w:val="0"/>
        <w:adjustRightInd w:val="0"/>
        <w:spacing w:after="0" w:line="240" w:lineRule="auto"/>
        <w:ind w:firstLine="709"/>
        <w:contextualSpacing/>
        <w:jc w:val="both"/>
        <w:outlineLvl w:val="0"/>
        <w:rPr>
          <w:rFonts w:ascii="Times New Roman" w:hAnsi="Times New Roman" w:cs="Times New Roman"/>
          <w:b/>
          <w:sz w:val="27"/>
          <w:szCs w:val="27"/>
        </w:rPr>
      </w:pPr>
    </w:p>
    <w:p w:rsidR="005F043F" w:rsidRDefault="005F043F" w:rsidP="00317EA2">
      <w:pPr>
        <w:autoSpaceDE w:val="0"/>
        <w:autoSpaceDN w:val="0"/>
        <w:adjustRightInd w:val="0"/>
        <w:spacing w:after="0" w:line="240" w:lineRule="auto"/>
        <w:contextualSpacing/>
        <w:jc w:val="center"/>
        <w:outlineLvl w:val="0"/>
        <w:rPr>
          <w:rFonts w:ascii="Times New Roman" w:hAnsi="Times New Roman" w:cs="Times New Roman"/>
          <w:b/>
          <w:sz w:val="27"/>
          <w:szCs w:val="27"/>
        </w:rPr>
      </w:pPr>
      <w:r w:rsidRPr="00317EA2">
        <w:rPr>
          <w:rFonts w:ascii="Times New Roman" w:hAnsi="Times New Roman" w:cs="Times New Roman"/>
          <w:b/>
          <w:sz w:val="27"/>
          <w:szCs w:val="27"/>
        </w:rPr>
        <w:t>Патенты для самозанятых</w:t>
      </w:r>
    </w:p>
    <w:p w:rsidR="00317EA2" w:rsidRPr="00317EA2" w:rsidRDefault="00317EA2" w:rsidP="00317EA2">
      <w:pPr>
        <w:autoSpaceDE w:val="0"/>
        <w:autoSpaceDN w:val="0"/>
        <w:adjustRightInd w:val="0"/>
        <w:spacing w:after="0" w:line="240" w:lineRule="auto"/>
        <w:contextualSpacing/>
        <w:jc w:val="center"/>
        <w:outlineLvl w:val="0"/>
        <w:rPr>
          <w:rFonts w:ascii="Times New Roman" w:hAnsi="Times New Roman" w:cs="Times New Roman"/>
          <w:b/>
          <w:sz w:val="27"/>
          <w:szCs w:val="27"/>
        </w:rPr>
      </w:pPr>
    </w:p>
    <w:p w:rsidR="005F043F" w:rsidRPr="00317EA2" w:rsidRDefault="005F043F" w:rsidP="00317EA2">
      <w:pPr>
        <w:pStyle w:val="pt-a-000007"/>
        <w:spacing w:after="0" w:line="240" w:lineRule="auto"/>
        <w:ind w:right="0" w:firstLine="709"/>
        <w:contextualSpacing/>
        <w:rPr>
          <w:sz w:val="27"/>
          <w:szCs w:val="27"/>
        </w:rPr>
      </w:pPr>
      <w:proofErr w:type="gramStart"/>
      <w:r w:rsidRPr="00317EA2">
        <w:rPr>
          <w:sz w:val="27"/>
          <w:szCs w:val="27"/>
        </w:rPr>
        <w:t xml:space="preserve">29 сентября представители ТПП РФ приняли участие в нулевых чтениях в Общественной палате РФ (ОП РФ) по пакету проектов федеральных законов </w:t>
      </w:r>
      <w:r w:rsidR="00317EA2">
        <w:rPr>
          <w:sz w:val="27"/>
          <w:szCs w:val="27"/>
        </w:rPr>
        <w:t xml:space="preserve">    </w:t>
      </w:r>
      <w:r w:rsidRPr="00317EA2">
        <w:rPr>
          <w:rFonts w:eastAsia="Calibri"/>
          <w:sz w:val="27"/>
          <w:szCs w:val="27"/>
        </w:rPr>
        <w:lastRenderedPageBreak/>
        <w:t>«О внесении изменений в законодательные акты Российской Федерации в связи с созданием условий для деятельности самозанятых» и «О внесении изменений в Налоговый кодекс Российской Федерации в связи с созданием условий для деятельности самозанятых»</w:t>
      </w:r>
      <w:r w:rsidRPr="00317EA2">
        <w:rPr>
          <w:sz w:val="27"/>
          <w:szCs w:val="27"/>
        </w:rPr>
        <w:t>.</w:t>
      </w:r>
      <w:proofErr w:type="gramEnd"/>
      <w:r w:rsidRPr="00317EA2">
        <w:rPr>
          <w:sz w:val="27"/>
          <w:szCs w:val="27"/>
        </w:rPr>
        <w:t xml:space="preserve"> За основу законопроектов взята подготовленная Минфином России редакция, доработанная рабочей группой из представителей бизнеса во главе с Уполномоченным Президента РФ по правам предпринимателей Б.Ю. Титовым. </w:t>
      </w:r>
    </w:p>
    <w:p w:rsidR="005F043F" w:rsidRPr="00317EA2" w:rsidRDefault="005F043F" w:rsidP="00317EA2">
      <w:pPr>
        <w:pStyle w:val="pt-a-000007"/>
        <w:spacing w:after="0" w:line="240" w:lineRule="auto"/>
        <w:ind w:right="0" w:firstLine="709"/>
        <w:contextualSpacing/>
        <w:rPr>
          <w:sz w:val="27"/>
          <w:szCs w:val="27"/>
        </w:rPr>
      </w:pPr>
      <w:r w:rsidRPr="00317EA2">
        <w:rPr>
          <w:sz w:val="27"/>
          <w:szCs w:val="27"/>
        </w:rPr>
        <w:t>В соответствии с законопроектами приобрести патент смогут самозанятые граждане, т.е. физические лица, осуществляющие виды деятельности, указанные в пункте 2 статьи 346.3 Налогового кодекса РФ, деятельность без привлечения наемных работников</w:t>
      </w:r>
      <w:r w:rsidRPr="00317EA2">
        <w:rPr>
          <w:rStyle w:val="pt-a0"/>
          <w:sz w:val="27"/>
          <w:szCs w:val="27"/>
        </w:rPr>
        <w:t>.</w:t>
      </w:r>
      <w:r w:rsidRPr="00317EA2">
        <w:rPr>
          <w:sz w:val="27"/>
          <w:szCs w:val="27"/>
        </w:rPr>
        <w:t xml:space="preserve"> Одновременно может осуществлять не более 3-х видов деятельности, которые должны быть указаны в свидетельстве </w:t>
      </w:r>
      <w:proofErr w:type="spellStart"/>
      <w:r w:rsidRPr="00317EA2">
        <w:rPr>
          <w:sz w:val="27"/>
          <w:szCs w:val="27"/>
        </w:rPr>
        <w:t>самозанятого</w:t>
      </w:r>
      <w:proofErr w:type="spellEnd"/>
      <w:r w:rsidRPr="00317EA2">
        <w:rPr>
          <w:sz w:val="27"/>
          <w:szCs w:val="27"/>
        </w:rPr>
        <w:t>, действующем на территории одного субъекта РФ. Тем самым будут созданы условия для выхода «из тени» значительного числа граждан, осуществляющих по существу индивидуальную предпринимательскую деятельность без соответствующей регистрации, что не позволяет им формировать пенсионные права и отрицательно сказывается на налоговых поступлениях.</w:t>
      </w:r>
    </w:p>
    <w:p w:rsidR="005F043F" w:rsidRPr="00317EA2" w:rsidRDefault="005F043F" w:rsidP="00317EA2">
      <w:pPr>
        <w:pStyle w:val="pt-a-000007"/>
        <w:spacing w:after="0" w:line="240" w:lineRule="auto"/>
        <w:ind w:right="0" w:firstLine="709"/>
        <w:contextualSpacing/>
        <w:rPr>
          <w:sz w:val="27"/>
          <w:szCs w:val="27"/>
        </w:rPr>
      </w:pPr>
      <w:r w:rsidRPr="00317EA2">
        <w:rPr>
          <w:sz w:val="27"/>
          <w:szCs w:val="27"/>
        </w:rPr>
        <w:t xml:space="preserve">Государственная регистрация самозанятых лиц в качестве индивидуальных предпринимателей будет осуществляться в упрощенном порядке на основании поданного ими заявления о получении свидетельства </w:t>
      </w:r>
      <w:proofErr w:type="spellStart"/>
      <w:r w:rsidRPr="00317EA2">
        <w:rPr>
          <w:sz w:val="27"/>
          <w:szCs w:val="27"/>
        </w:rPr>
        <w:t>самозанятого</w:t>
      </w:r>
      <w:proofErr w:type="spellEnd"/>
      <w:r w:rsidRPr="00317EA2">
        <w:rPr>
          <w:sz w:val="27"/>
          <w:szCs w:val="27"/>
        </w:rPr>
        <w:t xml:space="preserve">. Снятие самозанятых с учета в налоговых органах будет происходить автоматически через 5 дней после окончания срока действия свидетельства </w:t>
      </w:r>
      <w:proofErr w:type="spellStart"/>
      <w:r w:rsidRPr="00317EA2">
        <w:rPr>
          <w:sz w:val="27"/>
          <w:szCs w:val="27"/>
        </w:rPr>
        <w:t>самозанятого</w:t>
      </w:r>
      <w:proofErr w:type="spellEnd"/>
      <w:r w:rsidRPr="00317EA2">
        <w:rPr>
          <w:sz w:val="27"/>
          <w:szCs w:val="27"/>
        </w:rPr>
        <w:t>.</w:t>
      </w:r>
    </w:p>
    <w:p w:rsidR="005F043F" w:rsidRPr="00317EA2" w:rsidRDefault="005F043F" w:rsidP="00317EA2">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Проектом-спутником предполагается возможность уплаты самозанятыми страховых взносов в государственные внебюджетные фонды (по льготным тарифам) единым платежом вместе с уплатой налога по патентной системе налогообложения по месту постановки на у</w:t>
      </w:r>
      <w:r w:rsidR="00BA2433">
        <w:rPr>
          <w:rFonts w:ascii="Times New Roman" w:hAnsi="Times New Roman" w:cs="Times New Roman"/>
          <w:sz w:val="27"/>
          <w:szCs w:val="27"/>
        </w:rPr>
        <w:t>чет в налоговом органе в течение</w:t>
      </w:r>
      <w:r w:rsidRPr="00317EA2">
        <w:rPr>
          <w:rFonts w:ascii="Times New Roman" w:hAnsi="Times New Roman" w:cs="Times New Roman"/>
          <w:sz w:val="27"/>
          <w:szCs w:val="27"/>
        </w:rPr>
        <w:t xml:space="preserve"> 10 дней со дня получения патента. Вместе с тем, налоговые органы не имеют полномочий по администрированию страховых взносов, и эти вопросы, по мнению ТПП РФ, требуют дополнительной проработки.</w:t>
      </w:r>
    </w:p>
    <w:p w:rsidR="005F043F" w:rsidRPr="00317EA2" w:rsidRDefault="005F043F" w:rsidP="00317EA2">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В рассматриваемой редакции законопроектов учтено предложение Палаты о необходимости существенного расширения перечня видов деятельности, по которым возможно приобретение патента. Так, редакция проектов Минфина России предусматривала только 3 вида деятельности, по которым возможно приобретение патента, в доработанном варианте их уже 46. Считаем, что перечень видов деятельности самозанятых следует дополнительное расширить за счет ветеринарных услуг, услуг художников, актеров и др.</w:t>
      </w:r>
    </w:p>
    <w:p w:rsidR="005F043F" w:rsidRPr="00317EA2" w:rsidRDefault="005F043F" w:rsidP="00317EA2">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Вступление в силу законопроектов планируется с 1 января 2016 года, их принятие поддерживается ТПП РФ.</w:t>
      </w:r>
    </w:p>
    <w:p w:rsidR="005F043F" w:rsidRPr="00317EA2" w:rsidRDefault="005F043F" w:rsidP="00317EA2">
      <w:pPr>
        <w:spacing w:after="0" w:line="240" w:lineRule="auto"/>
        <w:ind w:firstLine="709"/>
        <w:contextualSpacing/>
        <w:jc w:val="both"/>
        <w:rPr>
          <w:rFonts w:ascii="Times New Roman" w:hAnsi="Times New Roman" w:cs="Times New Roman"/>
          <w:sz w:val="27"/>
          <w:szCs w:val="27"/>
        </w:rPr>
      </w:pPr>
    </w:p>
    <w:p w:rsidR="00E25549" w:rsidRDefault="00E25549" w:rsidP="00317EA2">
      <w:pPr>
        <w:spacing w:after="0" w:line="240" w:lineRule="auto"/>
        <w:contextualSpacing/>
        <w:jc w:val="center"/>
        <w:rPr>
          <w:rFonts w:ascii="Times New Roman" w:hAnsi="Times New Roman" w:cs="Times New Roman"/>
          <w:b/>
          <w:bCs/>
          <w:sz w:val="27"/>
          <w:szCs w:val="27"/>
        </w:rPr>
      </w:pPr>
      <w:r w:rsidRPr="00317EA2">
        <w:rPr>
          <w:rFonts w:ascii="Times New Roman" w:hAnsi="Times New Roman" w:cs="Times New Roman"/>
          <w:b/>
          <w:bCs/>
          <w:sz w:val="27"/>
          <w:szCs w:val="27"/>
        </w:rPr>
        <w:t>Информированный закупщик – вооруженный закупщик</w:t>
      </w:r>
    </w:p>
    <w:p w:rsidR="00317EA2" w:rsidRPr="00317EA2" w:rsidRDefault="00317EA2" w:rsidP="00317EA2">
      <w:pPr>
        <w:spacing w:after="0" w:line="240" w:lineRule="auto"/>
        <w:contextualSpacing/>
        <w:jc w:val="center"/>
        <w:rPr>
          <w:rFonts w:ascii="Times New Roman" w:hAnsi="Times New Roman" w:cs="Times New Roman"/>
          <w:b/>
          <w:bCs/>
          <w:sz w:val="27"/>
          <w:szCs w:val="27"/>
        </w:rPr>
      </w:pPr>
    </w:p>
    <w:p w:rsidR="005F043F" w:rsidRPr="00317EA2" w:rsidRDefault="005F043F" w:rsidP="00317EA2">
      <w:pPr>
        <w:spacing w:after="0" w:line="240" w:lineRule="auto"/>
        <w:ind w:firstLine="709"/>
        <w:contextualSpacing/>
        <w:jc w:val="both"/>
        <w:rPr>
          <w:rFonts w:ascii="Times New Roman" w:hAnsi="Times New Roman" w:cs="Times New Roman"/>
          <w:sz w:val="27"/>
          <w:szCs w:val="27"/>
        </w:rPr>
      </w:pPr>
      <w:proofErr w:type="gramStart"/>
      <w:r w:rsidRPr="00317EA2">
        <w:rPr>
          <w:rFonts w:ascii="Times New Roman" w:hAnsi="Times New Roman" w:cs="Times New Roman"/>
          <w:sz w:val="27"/>
          <w:szCs w:val="27"/>
        </w:rPr>
        <w:t>ТПП РФ разработан проект федерального закона «</w:t>
      </w:r>
      <w:r w:rsidRPr="00317EA2">
        <w:rPr>
          <w:rFonts w:ascii="Times New Roman" w:hAnsi="Times New Roman" w:cs="Times New Roman"/>
          <w:bCs/>
          <w:sz w:val="27"/>
          <w:szCs w:val="27"/>
        </w:rPr>
        <w:t>О внесении изменений в Федеральный закон «О закупках товаров, работ, услуг отдельными видами юридических лиц» (в части порядка опубликования положений о закупках и изменений в них), который</w:t>
      </w:r>
      <w:r w:rsidRPr="00317EA2">
        <w:rPr>
          <w:rFonts w:ascii="Times New Roman" w:hAnsi="Times New Roman" w:cs="Times New Roman"/>
          <w:sz w:val="27"/>
          <w:szCs w:val="27"/>
        </w:rPr>
        <w:t xml:space="preserve"> направлен на ликвидацию дискриминации и необоснованных ограничений конкуренции по отношению к участникам закупок, осуществляемых в рамках Федерального закона от 18 июля 2011 г. № 223-ФЗ «О </w:t>
      </w:r>
      <w:r w:rsidRPr="00317EA2">
        <w:rPr>
          <w:rFonts w:ascii="Times New Roman" w:hAnsi="Times New Roman" w:cs="Times New Roman"/>
          <w:sz w:val="27"/>
          <w:szCs w:val="27"/>
        </w:rPr>
        <w:lastRenderedPageBreak/>
        <w:t>закупках товаров</w:t>
      </w:r>
      <w:proofErr w:type="gramEnd"/>
      <w:r w:rsidRPr="00317EA2">
        <w:rPr>
          <w:rFonts w:ascii="Times New Roman" w:hAnsi="Times New Roman" w:cs="Times New Roman"/>
          <w:sz w:val="27"/>
          <w:szCs w:val="27"/>
        </w:rPr>
        <w:t>, работ, услуг отдельными видами юридических лиц» (далее – Федеральный закон № 223-ФЗ).</w:t>
      </w:r>
    </w:p>
    <w:p w:rsidR="005F043F" w:rsidRPr="00E22437" w:rsidRDefault="005F043F" w:rsidP="00E22437">
      <w:pPr>
        <w:autoSpaceDE w:val="0"/>
        <w:autoSpaceDN w:val="0"/>
        <w:adjustRightInd w:val="0"/>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В соответствии со статьей 2 Ф</w:t>
      </w:r>
      <w:r w:rsidR="00975267">
        <w:rPr>
          <w:rFonts w:ascii="Times New Roman" w:hAnsi="Times New Roman" w:cs="Times New Roman"/>
          <w:sz w:val="27"/>
          <w:szCs w:val="27"/>
        </w:rPr>
        <w:t>едерального закона № 223-ФЗ</w:t>
      </w:r>
      <w:r w:rsidRPr="00317EA2">
        <w:rPr>
          <w:rFonts w:ascii="Times New Roman" w:hAnsi="Times New Roman" w:cs="Times New Roman"/>
          <w:sz w:val="27"/>
          <w:szCs w:val="27"/>
        </w:rPr>
        <w:t xml:space="preserve">   отдельные виды юридических лиц осуществляют закупки на основании разработанных и утвержденных ими правовых актов, регламентирующих правила закупки (далее – Положение о закупке).</w:t>
      </w:r>
      <w:r w:rsidR="00E22437">
        <w:rPr>
          <w:rFonts w:ascii="Times New Roman" w:hAnsi="Times New Roman" w:cs="Times New Roman"/>
          <w:sz w:val="27"/>
          <w:szCs w:val="27"/>
        </w:rPr>
        <w:t xml:space="preserve"> </w:t>
      </w:r>
      <w:r w:rsidRPr="00317EA2">
        <w:rPr>
          <w:rFonts w:ascii="Times New Roman" w:hAnsi="Times New Roman" w:cs="Times New Roman"/>
          <w:sz w:val="27"/>
          <w:szCs w:val="27"/>
        </w:rPr>
        <w:t>Согласно части 1 статьи 4 Федерального закона № 223-ФЗ П</w:t>
      </w:r>
      <w:r w:rsidR="00E22437">
        <w:rPr>
          <w:rFonts w:ascii="Times New Roman" w:hAnsi="Times New Roman" w:cs="Times New Roman"/>
          <w:bCs/>
          <w:sz w:val="27"/>
          <w:szCs w:val="27"/>
        </w:rPr>
        <w:t xml:space="preserve">оложение </w:t>
      </w:r>
      <w:r w:rsidRPr="00317EA2">
        <w:rPr>
          <w:rFonts w:ascii="Times New Roman" w:hAnsi="Times New Roman" w:cs="Times New Roman"/>
          <w:bCs/>
          <w:sz w:val="27"/>
          <w:szCs w:val="27"/>
        </w:rPr>
        <w:t>о закупке и изменения в него подлежат обязательному размещению в единой информационной системе (далее - ЕИС) не позднее чем в течение пятнадцати дней со дня утверждения.</w:t>
      </w:r>
    </w:p>
    <w:p w:rsidR="005F043F" w:rsidRPr="00317EA2" w:rsidRDefault="00E22437" w:rsidP="00317EA2">
      <w:pPr>
        <w:autoSpaceDE w:val="0"/>
        <w:autoSpaceDN w:val="0"/>
        <w:adjustRightInd w:val="0"/>
        <w:spacing w:after="0" w:line="240" w:lineRule="auto"/>
        <w:ind w:firstLine="709"/>
        <w:contextualSpacing/>
        <w:jc w:val="both"/>
        <w:rPr>
          <w:rFonts w:ascii="Times New Roman" w:hAnsi="Times New Roman" w:cs="Times New Roman"/>
          <w:bCs/>
          <w:sz w:val="27"/>
          <w:szCs w:val="27"/>
        </w:rPr>
      </w:pPr>
      <w:r>
        <w:rPr>
          <w:rFonts w:ascii="Times New Roman" w:hAnsi="Times New Roman" w:cs="Times New Roman"/>
          <w:bCs/>
          <w:sz w:val="27"/>
          <w:szCs w:val="27"/>
        </w:rPr>
        <w:t>Таким образом, з</w:t>
      </w:r>
      <w:r w:rsidR="005F043F" w:rsidRPr="00317EA2">
        <w:rPr>
          <w:rFonts w:ascii="Times New Roman" w:hAnsi="Times New Roman" w:cs="Times New Roman"/>
          <w:bCs/>
          <w:sz w:val="27"/>
          <w:szCs w:val="27"/>
        </w:rPr>
        <w:t xml:space="preserve">аказчик вправе утвердить Положение о закупке, которое сразу же вступает в силу, а </w:t>
      </w:r>
      <w:proofErr w:type="gramStart"/>
      <w:r w:rsidR="005F043F" w:rsidRPr="00317EA2">
        <w:rPr>
          <w:rFonts w:ascii="Times New Roman" w:hAnsi="Times New Roman" w:cs="Times New Roman"/>
          <w:bCs/>
          <w:sz w:val="27"/>
          <w:szCs w:val="27"/>
        </w:rPr>
        <w:t>разместить его</w:t>
      </w:r>
      <w:proofErr w:type="gramEnd"/>
      <w:r w:rsidR="005F043F" w:rsidRPr="00317EA2">
        <w:rPr>
          <w:rFonts w:ascii="Times New Roman" w:hAnsi="Times New Roman" w:cs="Times New Roman"/>
          <w:bCs/>
          <w:sz w:val="27"/>
          <w:szCs w:val="27"/>
        </w:rPr>
        <w:t xml:space="preserve"> в ЕИС (довести до ознакомления потенциальных участников закупки) через 15 дней.</w:t>
      </w:r>
    </w:p>
    <w:p w:rsidR="005F043F" w:rsidRPr="00317EA2" w:rsidRDefault="005F043F" w:rsidP="00317EA2">
      <w:pPr>
        <w:autoSpaceDE w:val="0"/>
        <w:autoSpaceDN w:val="0"/>
        <w:adjustRightInd w:val="0"/>
        <w:spacing w:after="0" w:line="240" w:lineRule="auto"/>
        <w:ind w:firstLine="709"/>
        <w:contextualSpacing/>
        <w:jc w:val="both"/>
        <w:rPr>
          <w:rFonts w:ascii="Times New Roman" w:hAnsi="Times New Roman" w:cs="Times New Roman"/>
          <w:bCs/>
          <w:sz w:val="27"/>
          <w:szCs w:val="27"/>
        </w:rPr>
      </w:pPr>
      <w:proofErr w:type="gramStart"/>
      <w:r w:rsidRPr="00317EA2">
        <w:rPr>
          <w:rFonts w:ascii="Times New Roman" w:hAnsi="Times New Roman" w:cs="Times New Roman"/>
          <w:bCs/>
          <w:sz w:val="27"/>
          <w:szCs w:val="27"/>
        </w:rPr>
        <w:t>В свою</w:t>
      </w:r>
      <w:r w:rsidR="00975267">
        <w:rPr>
          <w:rFonts w:ascii="Times New Roman" w:hAnsi="Times New Roman" w:cs="Times New Roman"/>
          <w:bCs/>
          <w:sz w:val="27"/>
          <w:szCs w:val="27"/>
        </w:rPr>
        <w:t xml:space="preserve"> очередь, участники закупки, не</w:t>
      </w:r>
      <w:r w:rsidRPr="00317EA2">
        <w:rPr>
          <w:rFonts w:ascii="Times New Roman" w:hAnsi="Times New Roman" w:cs="Times New Roman"/>
          <w:bCs/>
          <w:sz w:val="27"/>
          <w:szCs w:val="27"/>
        </w:rPr>
        <w:t>смотря на то, что на протяжении 15 дней, когда действует утвержденное, но не размещенное в ЕИС Положение о закупке,  не имеют доступа к нему, обязаны соблюдать требования, изложенные в нем. При этом заявки участников закупки, не соответствующие утвержденному, но не размещенному в ЕИС Положению о за</w:t>
      </w:r>
      <w:r w:rsidR="00E22437">
        <w:rPr>
          <w:rFonts w:ascii="Times New Roman" w:hAnsi="Times New Roman" w:cs="Times New Roman"/>
          <w:bCs/>
          <w:sz w:val="27"/>
          <w:szCs w:val="27"/>
        </w:rPr>
        <w:t xml:space="preserve">купке, </w:t>
      </w:r>
      <w:r w:rsidR="00975267">
        <w:rPr>
          <w:rFonts w:ascii="Times New Roman" w:hAnsi="Times New Roman" w:cs="Times New Roman"/>
          <w:bCs/>
          <w:sz w:val="27"/>
          <w:szCs w:val="27"/>
        </w:rPr>
        <w:t xml:space="preserve">не </w:t>
      </w:r>
      <w:r w:rsidR="00E22437">
        <w:rPr>
          <w:rFonts w:ascii="Times New Roman" w:hAnsi="Times New Roman" w:cs="Times New Roman"/>
          <w:bCs/>
          <w:sz w:val="27"/>
          <w:szCs w:val="27"/>
        </w:rPr>
        <w:t xml:space="preserve">должны быть </w:t>
      </w:r>
      <w:bookmarkStart w:id="0" w:name="_GoBack"/>
      <w:bookmarkEnd w:id="0"/>
      <w:r w:rsidR="00E22437">
        <w:rPr>
          <w:rFonts w:ascii="Times New Roman" w:hAnsi="Times New Roman" w:cs="Times New Roman"/>
          <w:bCs/>
          <w:sz w:val="27"/>
          <w:szCs w:val="27"/>
        </w:rPr>
        <w:t>допущены з</w:t>
      </w:r>
      <w:r w:rsidRPr="00317EA2">
        <w:rPr>
          <w:rFonts w:ascii="Times New Roman" w:hAnsi="Times New Roman" w:cs="Times New Roman"/>
          <w:bCs/>
          <w:sz w:val="27"/>
          <w:szCs w:val="27"/>
        </w:rPr>
        <w:t>аказчиком до торгов.</w:t>
      </w:r>
      <w:proofErr w:type="gramEnd"/>
    </w:p>
    <w:p w:rsidR="005F043F" w:rsidRPr="00317EA2" w:rsidRDefault="005F043F" w:rsidP="00317EA2">
      <w:pPr>
        <w:autoSpaceDE w:val="0"/>
        <w:autoSpaceDN w:val="0"/>
        <w:adjustRightInd w:val="0"/>
        <w:spacing w:after="0" w:line="240" w:lineRule="auto"/>
        <w:ind w:firstLine="709"/>
        <w:contextualSpacing/>
        <w:jc w:val="both"/>
        <w:rPr>
          <w:rFonts w:ascii="Times New Roman" w:hAnsi="Times New Roman" w:cs="Times New Roman"/>
          <w:bCs/>
          <w:sz w:val="27"/>
          <w:szCs w:val="27"/>
        </w:rPr>
      </w:pPr>
      <w:r w:rsidRPr="00317EA2">
        <w:rPr>
          <w:rFonts w:ascii="Times New Roman" w:hAnsi="Times New Roman" w:cs="Times New Roman"/>
          <w:bCs/>
          <w:sz w:val="27"/>
          <w:szCs w:val="27"/>
        </w:rPr>
        <w:t xml:space="preserve"> В соответствии с предлагаемым законопроектом, Положение о закупке вступает в силу по истечении 20 дней </w:t>
      </w:r>
      <w:r w:rsidRPr="00317EA2">
        <w:rPr>
          <w:rFonts w:ascii="Times New Roman" w:hAnsi="Times New Roman" w:cs="Times New Roman"/>
          <w:sz w:val="27"/>
          <w:szCs w:val="27"/>
        </w:rPr>
        <w:t>со дня его размещения в ЕИС.</w:t>
      </w:r>
    </w:p>
    <w:p w:rsidR="005F043F" w:rsidRPr="00317EA2" w:rsidRDefault="005F043F" w:rsidP="00317EA2">
      <w:pPr>
        <w:autoSpaceDE w:val="0"/>
        <w:autoSpaceDN w:val="0"/>
        <w:adjustRightInd w:val="0"/>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sz w:val="27"/>
          <w:szCs w:val="27"/>
        </w:rPr>
        <w:t>Предлагаемые изменения позволят участникам торгов заблаговременно ознакомиться с актуальным Положением о закупке и подготовить документы на участие в тендерах</w:t>
      </w:r>
      <w:r w:rsidR="00E22437">
        <w:rPr>
          <w:rFonts w:ascii="Times New Roman" w:hAnsi="Times New Roman" w:cs="Times New Roman"/>
          <w:sz w:val="27"/>
          <w:szCs w:val="27"/>
        </w:rPr>
        <w:t xml:space="preserve"> в соответствии с требованиями з</w:t>
      </w:r>
      <w:r w:rsidRPr="00317EA2">
        <w:rPr>
          <w:rFonts w:ascii="Times New Roman" w:hAnsi="Times New Roman" w:cs="Times New Roman"/>
          <w:sz w:val="27"/>
          <w:szCs w:val="27"/>
        </w:rPr>
        <w:t xml:space="preserve">аказчиков. </w:t>
      </w:r>
      <w:r w:rsidR="00E22437">
        <w:rPr>
          <w:rFonts w:ascii="Times New Roman" w:hAnsi="Times New Roman" w:cs="Times New Roman"/>
          <w:sz w:val="27"/>
          <w:szCs w:val="27"/>
        </w:rPr>
        <w:t>Проект планируется направить в органы государственной власти для замечаний.</w:t>
      </w:r>
    </w:p>
    <w:p w:rsidR="005F043F" w:rsidRPr="00317EA2" w:rsidRDefault="005F043F" w:rsidP="00317EA2">
      <w:pPr>
        <w:tabs>
          <w:tab w:val="left" w:pos="7893"/>
        </w:tabs>
        <w:spacing w:after="0" w:line="240" w:lineRule="auto"/>
        <w:ind w:firstLine="709"/>
        <w:contextualSpacing/>
        <w:rPr>
          <w:rFonts w:ascii="Times New Roman" w:hAnsi="Times New Roman" w:cs="Times New Roman"/>
          <w:sz w:val="27"/>
          <w:szCs w:val="27"/>
        </w:rPr>
      </w:pPr>
    </w:p>
    <w:p w:rsidR="00317EA2" w:rsidRDefault="00317EA2" w:rsidP="00317EA2">
      <w:pPr>
        <w:spacing w:after="0" w:line="240" w:lineRule="auto"/>
        <w:ind w:firstLine="709"/>
        <w:contextualSpacing/>
        <w:jc w:val="both"/>
        <w:rPr>
          <w:rFonts w:ascii="Times New Roman" w:hAnsi="Times New Roman" w:cs="Times New Roman"/>
          <w:b/>
          <w:sz w:val="27"/>
          <w:szCs w:val="27"/>
        </w:rPr>
      </w:pPr>
      <w:r w:rsidRPr="00317EA2">
        <w:rPr>
          <w:rFonts w:ascii="Times New Roman" w:hAnsi="Times New Roman" w:cs="Times New Roman"/>
          <w:b/>
          <w:sz w:val="27"/>
          <w:szCs w:val="27"/>
        </w:rPr>
        <w:t>Коротко</w:t>
      </w:r>
    </w:p>
    <w:p w:rsidR="00E22437" w:rsidRPr="00317EA2" w:rsidRDefault="00E22437" w:rsidP="00317EA2">
      <w:pPr>
        <w:spacing w:after="0" w:line="240" w:lineRule="auto"/>
        <w:ind w:firstLine="709"/>
        <w:contextualSpacing/>
        <w:jc w:val="both"/>
        <w:rPr>
          <w:rFonts w:ascii="Times New Roman" w:hAnsi="Times New Roman" w:cs="Times New Roman"/>
          <w:b/>
          <w:sz w:val="27"/>
          <w:szCs w:val="27"/>
        </w:rPr>
      </w:pPr>
    </w:p>
    <w:p w:rsidR="00317EA2" w:rsidRPr="00317EA2" w:rsidRDefault="00317EA2" w:rsidP="00317EA2">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b/>
          <w:sz w:val="27"/>
          <w:szCs w:val="27"/>
        </w:rPr>
        <w:t>23 сентября</w:t>
      </w:r>
      <w:r w:rsidR="00BA0935">
        <w:rPr>
          <w:rFonts w:ascii="Times New Roman" w:hAnsi="Times New Roman" w:cs="Times New Roman"/>
          <w:sz w:val="27"/>
          <w:szCs w:val="27"/>
        </w:rPr>
        <w:t xml:space="preserve"> в Государственную Думу д</w:t>
      </w:r>
      <w:r w:rsidRPr="00317EA2">
        <w:rPr>
          <w:rFonts w:ascii="Times New Roman" w:hAnsi="Times New Roman" w:cs="Times New Roman"/>
          <w:sz w:val="27"/>
          <w:szCs w:val="27"/>
        </w:rPr>
        <w:t xml:space="preserve">епутатом </w:t>
      </w:r>
      <w:proofErr w:type="spellStart"/>
      <w:r w:rsidRPr="00317EA2">
        <w:rPr>
          <w:rFonts w:ascii="Times New Roman" w:hAnsi="Times New Roman" w:cs="Times New Roman"/>
          <w:sz w:val="27"/>
          <w:szCs w:val="27"/>
        </w:rPr>
        <w:t>С.Е.Вайнштейном</w:t>
      </w:r>
      <w:proofErr w:type="spellEnd"/>
      <w:r w:rsidRPr="00317EA2">
        <w:rPr>
          <w:rFonts w:ascii="Times New Roman" w:hAnsi="Times New Roman" w:cs="Times New Roman"/>
          <w:sz w:val="27"/>
          <w:szCs w:val="27"/>
        </w:rPr>
        <w:t xml:space="preserve"> внесен проект федерального закона № 886778-6, которым предлагается включить представителей сторон участвующих в деле в состав лиц, подлежащих обязательному извещению или вызову в суд при рассмотрении гражданского дела.</w:t>
      </w:r>
    </w:p>
    <w:p w:rsidR="00317EA2" w:rsidRPr="00317EA2" w:rsidRDefault="00317EA2" w:rsidP="00317EA2">
      <w:pPr>
        <w:spacing w:after="0" w:line="240" w:lineRule="auto"/>
        <w:ind w:firstLine="709"/>
        <w:contextualSpacing/>
        <w:jc w:val="both"/>
        <w:rPr>
          <w:rFonts w:ascii="Times New Roman" w:hAnsi="Times New Roman" w:cs="Times New Roman"/>
          <w:sz w:val="27"/>
          <w:szCs w:val="27"/>
        </w:rPr>
      </w:pPr>
      <w:r w:rsidRPr="00317EA2">
        <w:rPr>
          <w:rFonts w:ascii="Times New Roman" w:hAnsi="Times New Roman" w:cs="Times New Roman"/>
          <w:b/>
          <w:sz w:val="27"/>
          <w:szCs w:val="27"/>
        </w:rPr>
        <w:t>25 сентября</w:t>
      </w:r>
      <w:r w:rsidRPr="00317EA2">
        <w:rPr>
          <w:rFonts w:ascii="Times New Roman" w:hAnsi="Times New Roman" w:cs="Times New Roman"/>
          <w:sz w:val="27"/>
          <w:szCs w:val="27"/>
        </w:rPr>
        <w:t xml:space="preserve"> в Государ</w:t>
      </w:r>
      <w:r w:rsidR="00BA0935">
        <w:rPr>
          <w:rFonts w:ascii="Times New Roman" w:hAnsi="Times New Roman" w:cs="Times New Roman"/>
          <w:sz w:val="27"/>
          <w:szCs w:val="27"/>
        </w:rPr>
        <w:t>ственную Думу д</w:t>
      </w:r>
      <w:r w:rsidRPr="00317EA2">
        <w:rPr>
          <w:rFonts w:ascii="Times New Roman" w:hAnsi="Times New Roman" w:cs="Times New Roman"/>
          <w:sz w:val="27"/>
          <w:szCs w:val="27"/>
        </w:rPr>
        <w:t xml:space="preserve">епутатом </w:t>
      </w:r>
      <w:proofErr w:type="spellStart"/>
      <w:r w:rsidRPr="00317EA2">
        <w:rPr>
          <w:rFonts w:ascii="Times New Roman" w:hAnsi="Times New Roman" w:cs="Times New Roman"/>
          <w:sz w:val="27"/>
          <w:szCs w:val="27"/>
        </w:rPr>
        <w:t>А.Ю.Русских</w:t>
      </w:r>
      <w:proofErr w:type="spellEnd"/>
      <w:r w:rsidRPr="00317EA2">
        <w:rPr>
          <w:rFonts w:ascii="Times New Roman" w:hAnsi="Times New Roman" w:cs="Times New Roman"/>
          <w:sz w:val="27"/>
          <w:szCs w:val="27"/>
        </w:rPr>
        <w:t xml:space="preserve"> внесен законопроект № 888144-6, направленный на упрощение порядка регистрации саморегулируемых организаций. Проектом, в частности, предлагается  сделать выписки из реестров ЕГРЮЛ и ЕГРИП более информативными;  собрать информацию о юридических лицах и индивидуальных предпринимателях в едином банке данных; повысить информационную открытость саморегулируемых организаций и их членов; минимизировать количество документов, необходимых юридическим лицам и индивидуальным предпринимателям для вступления в те или иные правоотношения.</w:t>
      </w:r>
    </w:p>
    <w:p w:rsidR="00317EA2" w:rsidRPr="00317EA2" w:rsidRDefault="00317EA2" w:rsidP="00317EA2">
      <w:pPr>
        <w:tabs>
          <w:tab w:val="left" w:pos="7893"/>
        </w:tabs>
        <w:spacing w:after="0" w:line="240" w:lineRule="auto"/>
        <w:ind w:firstLine="709"/>
        <w:contextualSpacing/>
        <w:rPr>
          <w:rFonts w:ascii="Times New Roman" w:hAnsi="Times New Roman" w:cs="Times New Roman"/>
          <w:sz w:val="27"/>
          <w:szCs w:val="27"/>
        </w:rPr>
      </w:pPr>
    </w:p>
    <w:sectPr w:rsidR="00317EA2" w:rsidRPr="00317EA2" w:rsidSect="00317EA2">
      <w:headerReference w:type="even" r:id="rId8"/>
      <w:headerReference w:type="default" r:id="rId9"/>
      <w:footerReference w:type="even" r:id="rId10"/>
      <w:footerReference w:type="default" r:id="rId11"/>
      <w:headerReference w:type="first" r:id="rId12"/>
      <w:footerReference w:type="first" r:id="rId13"/>
      <w:pgSz w:w="11906" w:h="16838"/>
      <w:pgMar w:top="1134" w:right="737" w:bottom="79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52D" w:rsidRDefault="00D9552D" w:rsidP="005F043F">
      <w:pPr>
        <w:spacing w:after="0" w:line="240" w:lineRule="auto"/>
      </w:pPr>
      <w:r>
        <w:separator/>
      </w:r>
    </w:p>
  </w:endnote>
  <w:endnote w:type="continuationSeparator" w:id="0">
    <w:p w:rsidR="00D9552D" w:rsidRDefault="00D9552D" w:rsidP="005F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0F" w:rsidRDefault="00305C0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0F" w:rsidRDefault="00305C0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0F" w:rsidRDefault="00305C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52D" w:rsidRDefault="00D9552D" w:rsidP="005F043F">
      <w:pPr>
        <w:spacing w:after="0" w:line="240" w:lineRule="auto"/>
      </w:pPr>
      <w:r>
        <w:separator/>
      </w:r>
    </w:p>
  </w:footnote>
  <w:footnote w:type="continuationSeparator" w:id="0">
    <w:p w:rsidR="00D9552D" w:rsidRDefault="00D9552D" w:rsidP="005F0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0F" w:rsidRDefault="00305C0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331992"/>
      <w:docPartObj>
        <w:docPartGallery w:val="Page Numbers (Top of Page)"/>
        <w:docPartUnique/>
      </w:docPartObj>
    </w:sdtPr>
    <w:sdtEndPr/>
    <w:sdtContent>
      <w:p w:rsidR="005F043F" w:rsidRDefault="005F043F">
        <w:pPr>
          <w:pStyle w:val="a3"/>
          <w:jc w:val="center"/>
        </w:pPr>
        <w:r>
          <w:fldChar w:fldCharType="begin"/>
        </w:r>
        <w:r>
          <w:instrText>PAGE   \* MERGEFORMAT</w:instrText>
        </w:r>
        <w:r>
          <w:fldChar w:fldCharType="separate"/>
        </w:r>
        <w:r w:rsidR="00975267">
          <w:rPr>
            <w:noProof/>
          </w:rPr>
          <w:t>10</w:t>
        </w:r>
        <w:r>
          <w:fldChar w:fldCharType="end"/>
        </w:r>
      </w:p>
    </w:sdtContent>
  </w:sdt>
  <w:p w:rsidR="005F043F" w:rsidRDefault="005F043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0F" w:rsidRDefault="00305C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527"/>
    <w:rsid w:val="00030249"/>
    <w:rsid w:val="00305C0F"/>
    <w:rsid w:val="00315D16"/>
    <w:rsid w:val="00317EA2"/>
    <w:rsid w:val="003D4006"/>
    <w:rsid w:val="00470536"/>
    <w:rsid w:val="005127BD"/>
    <w:rsid w:val="005F043F"/>
    <w:rsid w:val="006778BD"/>
    <w:rsid w:val="007567BA"/>
    <w:rsid w:val="007C7CDB"/>
    <w:rsid w:val="00880836"/>
    <w:rsid w:val="00975267"/>
    <w:rsid w:val="00A1399F"/>
    <w:rsid w:val="00A87F4D"/>
    <w:rsid w:val="00AC1D76"/>
    <w:rsid w:val="00BA0935"/>
    <w:rsid w:val="00BA2433"/>
    <w:rsid w:val="00C74C09"/>
    <w:rsid w:val="00D53C1E"/>
    <w:rsid w:val="00D9552D"/>
    <w:rsid w:val="00E22437"/>
    <w:rsid w:val="00E25549"/>
    <w:rsid w:val="00F02527"/>
    <w:rsid w:val="00F73182"/>
    <w:rsid w:val="00FC0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7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a-000007">
    <w:name w:val="pt-a-000007"/>
    <w:basedOn w:val="a"/>
    <w:rsid w:val="005F043F"/>
    <w:pPr>
      <w:spacing w:after="60" w:line="259" w:lineRule="auto"/>
      <w:ind w:right="-288" w:firstLine="706"/>
      <w:jc w:val="both"/>
    </w:pPr>
    <w:rPr>
      <w:rFonts w:ascii="Times New Roman" w:eastAsia="Times New Roman" w:hAnsi="Times New Roman" w:cs="Times New Roman"/>
      <w:sz w:val="28"/>
      <w:szCs w:val="28"/>
      <w:lang w:eastAsia="ru-RU"/>
    </w:rPr>
  </w:style>
  <w:style w:type="character" w:customStyle="1" w:styleId="pt-a0">
    <w:name w:val="pt-a0"/>
    <w:rsid w:val="005F043F"/>
    <w:rPr>
      <w:rFonts w:ascii="Times New Roman" w:hAnsi="Times New Roman" w:cs="Times New Roman" w:hint="default"/>
      <w:b w:val="0"/>
      <w:bCs w:val="0"/>
      <w:sz w:val="28"/>
      <w:szCs w:val="28"/>
    </w:rPr>
  </w:style>
  <w:style w:type="paragraph" w:styleId="a3">
    <w:name w:val="header"/>
    <w:basedOn w:val="a"/>
    <w:link w:val="a4"/>
    <w:uiPriority w:val="99"/>
    <w:unhideWhenUsed/>
    <w:rsid w:val="005F04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043F"/>
  </w:style>
  <w:style w:type="paragraph" w:styleId="a5">
    <w:name w:val="footer"/>
    <w:basedOn w:val="a"/>
    <w:link w:val="a6"/>
    <w:uiPriority w:val="99"/>
    <w:unhideWhenUsed/>
    <w:rsid w:val="005F04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04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7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a-000007">
    <w:name w:val="pt-a-000007"/>
    <w:basedOn w:val="a"/>
    <w:rsid w:val="005F043F"/>
    <w:pPr>
      <w:spacing w:after="60" w:line="259" w:lineRule="auto"/>
      <w:ind w:right="-288" w:firstLine="706"/>
      <w:jc w:val="both"/>
    </w:pPr>
    <w:rPr>
      <w:rFonts w:ascii="Times New Roman" w:eastAsia="Times New Roman" w:hAnsi="Times New Roman" w:cs="Times New Roman"/>
      <w:sz w:val="28"/>
      <w:szCs w:val="28"/>
      <w:lang w:eastAsia="ru-RU"/>
    </w:rPr>
  </w:style>
  <w:style w:type="character" w:customStyle="1" w:styleId="pt-a0">
    <w:name w:val="pt-a0"/>
    <w:rsid w:val="005F043F"/>
    <w:rPr>
      <w:rFonts w:ascii="Times New Roman" w:hAnsi="Times New Roman" w:cs="Times New Roman" w:hint="default"/>
      <w:b w:val="0"/>
      <w:bCs w:val="0"/>
      <w:sz w:val="28"/>
      <w:szCs w:val="28"/>
    </w:rPr>
  </w:style>
  <w:style w:type="paragraph" w:styleId="a3">
    <w:name w:val="header"/>
    <w:basedOn w:val="a"/>
    <w:link w:val="a4"/>
    <w:uiPriority w:val="99"/>
    <w:unhideWhenUsed/>
    <w:rsid w:val="005F04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043F"/>
  </w:style>
  <w:style w:type="paragraph" w:styleId="a5">
    <w:name w:val="footer"/>
    <w:basedOn w:val="a"/>
    <w:link w:val="a6"/>
    <w:uiPriority w:val="99"/>
    <w:unhideWhenUsed/>
    <w:rsid w:val="005F04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7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84934-FEFF-42D6-B484-62957A26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4260</Words>
  <Characters>24286</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Борзик</dc:creator>
  <cp:keywords/>
  <dc:description/>
  <cp:lastModifiedBy>Кудрявцева Е.С. (237)</cp:lastModifiedBy>
  <cp:revision>19</cp:revision>
  <dcterms:created xsi:type="dcterms:W3CDTF">2015-10-07T10:44:00Z</dcterms:created>
  <dcterms:modified xsi:type="dcterms:W3CDTF">2015-10-14T06:43:00Z</dcterms:modified>
</cp:coreProperties>
</file>