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D9" w:rsidRPr="00543CD9" w:rsidRDefault="00543CD9" w:rsidP="00543CD9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24B52"/>
          <w:sz w:val="17"/>
          <w:szCs w:val="17"/>
          <w:lang w:eastAsia="ru-RU"/>
        </w:rPr>
      </w:pPr>
      <w:proofErr w:type="spellStart"/>
      <w:r w:rsidRPr="00543CD9">
        <w:rPr>
          <w:rFonts w:ascii="Verdana" w:eastAsia="Times New Roman" w:hAnsi="Verdana" w:cs="Times New Roman"/>
          <w:b/>
          <w:bCs/>
          <w:color w:val="424B52"/>
          <w:sz w:val="17"/>
          <w:szCs w:val="17"/>
          <w:lang w:eastAsia="ru-RU"/>
        </w:rPr>
        <w:t>Манузина</w:t>
      </w:r>
      <w:proofErr w:type="spellEnd"/>
      <w:r w:rsidRPr="00543CD9">
        <w:rPr>
          <w:rFonts w:ascii="Verdana" w:eastAsia="Times New Roman" w:hAnsi="Verdana" w:cs="Times New Roman"/>
          <w:b/>
          <w:bCs/>
          <w:color w:val="424B52"/>
          <w:sz w:val="17"/>
          <w:szCs w:val="17"/>
          <w:lang w:eastAsia="ru-RU"/>
        </w:rPr>
        <w:t xml:space="preserve"> Наталья Владимировна</w:t>
      </w:r>
      <w:r w:rsidR="004955F7">
        <w:rPr>
          <w:rFonts w:ascii="Verdana" w:eastAsia="Times New Roman" w:hAnsi="Verdana" w:cs="Times New Roman"/>
          <w:b/>
          <w:bCs/>
          <w:color w:val="424B52"/>
          <w:sz w:val="17"/>
          <w:szCs w:val="17"/>
          <w:lang w:eastAsia="ru-RU"/>
        </w:rPr>
        <w:t>, аудитор с 2002 года, единый аттестат, г. Кемерово.</w:t>
      </w:r>
      <w:bookmarkStart w:id="0" w:name="_GoBack"/>
      <w:bookmarkEnd w:id="0"/>
      <w:r w:rsidRPr="00543CD9">
        <w:rPr>
          <w:rFonts w:ascii="Verdana" w:eastAsia="Times New Roman" w:hAnsi="Verdana" w:cs="Times New Roman"/>
          <w:color w:val="424B52"/>
          <w:sz w:val="17"/>
          <w:szCs w:val="17"/>
          <w:lang w:eastAsia="ru-RU"/>
        </w:rPr>
        <w:t xml:space="preserve"> </w:t>
      </w:r>
    </w:p>
    <w:p w:rsidR="00543CD9" w:rsidRPr="00543CD9" w:rsidRDefault="00543CD9" w:rsidP="00543CD9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 Насколько обоснованной, на Ваш взгляд, является проблема, указанная разработчиком в сводном отчете? Каким образом, на Ваш взгляд, указанная разработчиком в сводном отчете цель предлагаемого регулирования соотносится с проблемой?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мой взгляд, истинные цели обсуждаемого законопроекта не имеют к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заявленным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никакого отношения. Хотя, конечно, в такой ситуации об истинных целях можно только догадываться. Проблема с качеством в ходе аудита действительно имеет место быть. Однако лежит она больше в плоскости отсутствия единообразного понимания самого понятия \"качество аудита\", и обсуждаемый проект как нельзя лучше доказывает это мое утверждение. Однако, по порядку. 1. В действующей редакции закона 307-ФЗ п.5 ст.6: Заведомо ложное аудиторское заключение - аудиторское заключение, составленное без проведения аудита или составленное по результатам аудита, но явно противоречащее содержанию документов, представленных аудиторской организации, индивидуальному аудитору и рассмотренных в ходе аудита. Заведомо ложным аудиторское заключение признается по решению суда. Перечень лиц, которые могут обращаться в суд с признанием АЗ заведомо ложным, никак не органичен. Из чего можно сделать вывод, что любое лицо, при наличии достаточных оснований, может обратиться в суд с соответствующим иском,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действующая редакция закона не ограничивает прав тех лиц, которые прямо поименованы в предлагаемом законопроекте. Вообще внесение этой статьи вызывает недоумение: в предлагаемом проекте предусматривается, как заявлено, ч.6 ст. 6 с заявлением в суд о признании АЗ заведомо ложным, помимо 3 прямо перечисленных органов еще и непонятные «иные лица», но самое интересное, это первые из поименованных, а именно лица, «которым адресовано аудиторское заключение». Согласно прилагаемой Форме сводного отчета о проведении оценки регулирующего воздействия, раздела 7, лиц, которым адресовано аудиторское заключение - неограниченное количество. Что совершенно обоснованно, ведь аудиторское заключение направлено широкому кругу лиц, и предприятия, которые попадают под обязательный аудит, обязаны представлять обязательный экземпляр отчетности вместе с АЗ, и публиковать отчетность также вместе с АЗ. При этом почему-то Центральный банк ограничили в полномочиях. Если при действующей редакции ЦБ может обращаться с иском о признании заведомом ложным любого АЗ. В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например, АЗ, выданного клиенту банка, который по фальсифицированной отчетности получили кредит, и не вернул его, и тем самым привлечь к ответственности недобросовестного аудитора. То после принятия предлагаемой редакции, ЦБ лишать такой возможности, он сможет обратиться в суд с иском о признании АЗ заведомо ложным только по ограниченному кругу предприятий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с одной стороны, предлагаемая редакция ст.6 дает возможность обратиться в суд практически любому, кто прочел АЗ, (поскольку им и адресовано АЗ в силу действующих стандартов и Кодекса этики аудитора). С другой стороны, ограничивает перечень лиц, по АЗ которых может обратиться в суд ЦБ и Агентство по страхованию вкладов. Кроме того, заявленное так называемое «определение надлежащего перечня лиц», имеющих право обратиться с признанием АЗ заведомо ложным не содержит инвесторов. Совершенно непонятно, почему их исключили? Предполагается, что инвестор не пользуется аудиторским заключением? Недальновидно и глупо. Как инвесторы внимательно относятся к независимым подтверждениям. И предлагаемая формулировка может быть трактована как отсутствия прав у инвестора привлечь к ответственности аудитора в случае, если он ввел его в заблуждение положительным заключением, и инвестор потерял свои деньги. В ситуации, когда страна работает над повышением инвестиционной привлекательности, и повышением прогноза по выводу средств по геополитическим причинам, ограничение прав инвесторов выглядит странно. </w:t>
      </w:r>
    </w:p>
    <w:p w:rsidR="00543CD9" w:rsidRPr="00543CD9" w:rsidRDefault="00543CD9" w:rsidP="00543CD9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Позволит ли принятие нормативного 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</w:r>
      <w:proofErr w:type="spellStart"/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затратны</w:t>
      </w:r>
      <w:proofErr w:type="spellEnd"/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(или) более результативны?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этики говорит, что аудитор действует в общественных интересах. Аудиторское заключение адресовано именно широкому кругу лиц. Поэтому ограничение, выдергивание из этого круга узкого перечня, да еще такого нелепого, лиц, имеющих право обращаться с признанием аудиторского заключения заведомо ложным, следует исключить.</w:t>
      </w:r>
    </w:p>
    <w:p w:rsidR="00543CD9" w:rsidRPr="00543CD9" w:rsidRDefault="00543CD9" w:rsidP="00543CD9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оценки (с указанием источников данных). Насколько обоснованной является оценка соответствующих расходов бюджетной системы Российской Федерации?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 ст. 10 законопроекта предусматривает обязательное оперативное информирование уполномоченного органа по контролю и надзору (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Росфиинадзор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аудиторскими организациями о: </w:t>
      </w:r>
    </w:p>
    <w:p w:rsid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обязательный аудит с организациями, поименованными в п.3 ст. 5 изменяемого закона</w:t>
      </w:r>
    </w:p>
    <w:p w:rsid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услуг по проведении обязательного аудита.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предлагаемые изменения, единственный вывод, который приходит на ум, это то, что назначенный на Федеральном уровне уполномоченной органа по контролю и надзору безглазый, безухий, и вообще неспособный работать с информацией.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Сегодняшнее законодательство содержит очень мало случаев, когда о сделке нужно информировать регулирующие органы. И они, как правило, содержат требование не только об информировании, но и о получение разрешений и согласований от такого регулирующего органа, например, ФАС.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307-ФЗ ни о каком регулирующем воздействии на этапе заключения и окончания договоров на обязательный аудит речи быть не может – заключение договоров не является сферой воздействия государства. Например, организации уведомляют ФАС в рамках закона об антимонопольной службе в целях ограничения незаконной конкуренции.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каких целях аудиторы будут информировать о заключении оговора на аудит? Чтобы знали? Но информация о заключении таких договоров и без того является публичной. Предприятия, поименованные в п.3 ст.5, о заключении договора с которыми предполагается информирование, это предприятия публичные. Они либо обязаны заключать договоры исключительно на конкурсной основе, либо обязаны публиковать решения собраний акционеров/участников на открытых информационных ресурсах. Ведь аудитора утверждает именно собрание акционеров/участников организации.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в тех случаях, когда аудитор выбирается на конкурсной основе. Разве контролирующий орган не в состоянии посмотреть результаты выбора аудитора в открытых информационных источниках? Полагаю, что ближе к истине будет утверждение, что отсутствует информация даже о том, сколько у нас в стране предприятий, попадающих под действие п.3 ст.5, не говоря уже об их полном перечне. И единственная реальная цель, которая просматривается этим изменением – создать реестр таких предприятий. Добиться этой цели можно намного более простым путем: все без исключения аудиторские организации представляют в Минфин и СРО форму статистического наблюдения 2-аудит. Эта форма предусматривает такой показатель, как </w:t>
      </w: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договоров и количество АЗ, выданных предприятиям из указанного пункта. Введите в форму расшифровку этих показателей в разрезе контрагентов, и вся полнота необходимой информации будет обеспечена. Получить 2-аудит можно, например, из СРО. А можно добавить еще один адрес для предоставления отчета. Отчетность представляется аудиторами ежегодно. 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того, что проверки планируются на год вперед, и проводятся не реже одного раза в три года, и не чаще одного раза в год, частоты предоставления формы 2-аудит (ежегодно) вполне достаточно для того, чтобы осуществлять корректное планирование. Кроме того, в чем срочность информирования, если проверки планируются вперед на финансовый год и охватывают период 2-3 года? Цель получения более оперативной информации от аудиторов о заключении/исполнении договора, а самое главное, как она будет обрабатываться и где использоваться, совершенно не ясна. </w:t>
      </w:r>
    </w:p>
    <w:p w:rsidR="00543CD9" w:rsidRPr="00543CD9" w:rsidRDefault="00543CD9" w:rsidP="00543CD9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Описанный в законе порядок проведения проверки не вызывает сомнений в том, что он составлен из предпосылки в виновности аудитора. Тот факт, что Конституция нашей страны говорит, что виновным можно считать только после решения суда, как-то опускается. Конечно, прямо об этом нигде не сказано. Но описанные процедуры и наказания других выводов сделать просто не дают.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об аудиторской деятельности (и в этой части изменений не предлагается) предметом внешнего контроля качества работы является соблюдение аудиторской организацией, аудитором 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аудиторов. Но из процедур, предлагаемых в проекте можно сделать вывод, что предметом ВККР является выражение второго мнения. Причем второе мнение высказывается при игнорировании федеральных стандартов и правил, и безапелляционно.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проведение экспертиз, который предусматривает проект?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Росфиннадзор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аудиторы представляют поддельные документы? А встречная проверка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аудируемого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лица? Или считается, что право на запрос документов у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аудируемого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которое хочет получить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Росфиннадзор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аудируемого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не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для него дополнительной нагрузкой? У нас скоро план проверок предприятий, утверждаемый прокуратурой, потеряет всякий смысл, потому что количество встречных контролей превышает количество контролей, которое как-то упорядочено. И какое отношение документы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аудируемого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имеют к соблюдению аудитором закона, стандартов, правил независимости и кодекса этики? Ведь ФПСАД 2 «Документирование аудита» прямо указывает, цитата: «Отражение в составе документации каждого рассмотренного аудитором в ходе проверки документа или вопроса не является необходимым» - конец цитаты. Цель нововведений просматривается только одна – чиновникам нужно повысить свой статус. Пусть в ущерб другим, пусть в ущерб делу, лишь бы себе хорошо было. Эта цель будет достигнута. Повышение качества аудиторских проверок – нет.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практика показывает, что ВККР побуждает к активизации работы над внутренним контролем качества. В предлагаемых уникальных условиях для Росс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дитору намного проще перевести аудит из области аналитических действий и профессиональных суждений в плоскость создания документов, для удовлетворения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Росфиннадзора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очень опасная практика, которая может привести к формализму, в ущерб непосредственно качеству. И даже не качеству аудита, а, прежде всего, качеству подтверждаемой им бухгалтерской (финансовой) отчетности. Ведь именно на базе этой отчетности принимаются управленческие и инвестиционные решения.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разрабатывать меры по обеспечению ее достоверности, а не формализации. Перечень применяемых наказаний для аудитора, на мой взгляд, служит тоже только одной цели: поднять статус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Росфиннадзора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Даже убийцам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право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адвоката и защиту своих интересов. Аудиторы такого права не достойны.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проект не предусматривает даже малейшей возможности обжалования решения ВККР. Напротив, предполагается, что исключительно исходя из фантазий чиновников, аудитор подлежит в обязательном порядке исключению из реестра и потери права на работу. И это при том, что проверка проводится выборочно! Т.е. вывод делается по маленькой части из общего объема.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Законопроект не предусматривает критериев, по которым применяет то или иное наказание, вплоть до исключения из реестра. А практика показывает, что за одно и то же нарушение, сейчас применяется весь спектр возможных наказаний. Тот факт, что суд признает исключение аудитора из реестра по итогам выборочной проверки незаконным,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Росфиннадзор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проигнорировал. Критерии нарушений, по которым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исключается аудитор из реестра не обозначил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(конечно, обеспечить контролеров помещением намного важнее). 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защиту аудитора и процедуру защиты не оговорил. Т.е. мы вас исключим – потом судитесь. А ведь восстановление в реестре аудиторов, это не снятие судимости – такого чуда в действующей правовой системе не предусмотрено вообще. Итак, на мой взгляд, все, что касается процедуры </w:t>
      </w:r>
      <w:proofErr w:type="gram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существенной доработки:</w:t>
      </w:r>
    </w:p>
    <w:p w:rsid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части применяемым процедур на соответствие их целям ВККР. </w:t>
      </w:r>
    </w:p>
    <w:p w:rsid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процедур должна исходить из презумпции невиновности аудита (а не виновности, как в предлагаемой редакции)</w:t>
      </w:r>
    </w:p>
    <w:p w:rsid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Исключить дополнительную проверку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аудируемых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</w:p>
    <w:p w:rsid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Определить четкие критерии для каждого вида наказания аудитора</w:t>
      </w:r>
    </w:p>
    <w:p w:rsid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Предусмотреть процедуру обжалования решений </w:t>
      </w:r>
      <w:proofErr w:type="spellStart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Росфиннадзора</w:t>
      </w:r>
      <w:proofErr w:type="spellEnd"/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Определить, что решение об исключении из реестра аудиторов по результатам ВККР возможно только по решению суда, после обязательного досудебного урегулирования с участием СРО. </w:t>
      </w:r>
    </w:p>
    <w:p w:rsidR="00543CD9" w:rsidRPr="00543CD9" w:rsidRDefault="00543CD9" w:rsidP="00543CD9">
      <w:pPr>
        <w:shd w:val="clear" w:color="auto" w:fill="FFFFFF"/>
        <w:spacing w:before="100" w:beforeAutospacing="1" w:after="100" w:afterAutospacing="1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каким последствиям может привести принятие нормативного правового акта? Приведите конкретные примеры. В какой степени указанные в сводном отчете риски и негативные последствия поддаются контролю с помощью указанных методов? Представьте имеющиеся предложения по применению наиболее эффективных методов контроля рисков.</w:t>
      </w:r>
    </w:p>
    <w:p w:rsid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забывается, не озвучивается, что аудит выполняет балансирующую функцию. Он выражает независимое мнение. В советское время такого мнения не было, но было много государственных контролирующих органов. Убрать аудит сейчас и мы получим то, что уже видели, и что, по сути, есть и сейчас. Только раньше это скромно именовали \"приписки\", а сейчас гордо называют красивым словом \"коррупция\". В качестве примера посмотрите информацию по себестоимости, которую сельхозпредприятия представляют в Департамент сельского хозяйства и сравните с тем, что подтвердили аудиторы. И ситуация существенно улучшилась. 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Законопроект не отменяет аудит, и цель заявлена хорошая. И если сказать, что аудит не требует развития в области качества, значит, себя обмануть. Как в любой отрасли, проблем достаточно. Но подходить к их решению с топором нельзя, как впрочем, </w:t>
      </w: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любым проблемам бизнеса. Следует очень взвешенно оценивать влияние каждого решения. А в аудите нельзя сбрасывать со счетов, как минимум, несколько параметров: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влияние рынка аудита на доверие инвесторов, как российских, так и иностранных 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высокую степень формализации и необходимость тщательно выверять баланс между \"обязательным\" и \"необходимым и достаточным\" объемом документирования, чтобы не впасть в формализм, уменьшив анализ по существу до минимума.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нельзя подходить с критериями 20 века к существу проверки и к способу ее документирования, нужно больше делать упор на инновации. Сейчас же требования к документам аудитора, предъявляемые ВККР родом из 50-х годов прошлого века.</w:t>
      </w:r>
    </w:p>
    <w:p w:rsidR="00543CD9" w:rsidRPr="00543CD9" w:rsidRDefault="00543CD9" w:rsidP="00543CD9">
      <w:pPr>
        <w:shd w:val="clear" w:color="auto" w:fill="FFFFFF"/>
        <w:spacing w:after="0" w:line="270" w:lineRule="atLeast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для аудитора Кодекс этики и Правила независимости стоят рядом с законом, если не выше его. </w:t>
      </w:r>
    </w:p>
    <w:p w:rsidR="000B3800" w:rsidRPr="00543CD9" w:rsidRDefault="000B3800" w:rsidP="00543C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B3800" w:rsidRPr="005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D9"/>
    <w:rsid w:val="000B3800"/>
    <w:rsid w:val="004955F7"/>
    <w:rsid w:val="005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72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101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575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490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Носова</cp:lastModifiedBy>
  <cp:revision>2</cp:revision>
  <dcterms:created xsi:type="dcterms:W3CDTF">2014-09-03T06:08:00Z</dcterms:created>
  <dcterms:modified xsi:type="dcterms:W3CDTF">2014-09-03T06:08:00Z</dcterms:modified>
</cp:coreProperties>
</file>