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031535">
        <w:rPr>
          <w:b/>
          <w:sz w:val="26"/>
          <w:szCs w:val="26"/>
        </w:rPr>
        <w:t>22</w:t>
      </w:r>
      <w:r w:rsidR="009E56B3">
        <w:rPr>
          <w:b/>
          <w:sz w:val="26"/>
          <w:szCs w:val="26"/>
        </w:rPr>
        <w:t>7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заседания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90D7C" w:rsidRDefault="006A67A0" w:rsidP="008F44A0">
      <w:pPr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</w:t>
      </w:r>
      <w:r w:rsidR="000961A0">
        <w:rPr>
          <w:sz w:val="26"/>
          <w:szCs w:val="26"/>
          <w:lang w:val="ru-RU"/>
        </w:rPr>
        <w:t xml:space="preserve"> </w:t>
      </w:r>
      <w:r w:rsidR="00651985">
        <w:rPr>
          <w:sz w:val="26"/>
          <w:szCs w:val="26"/>
          <w:lang w:val="ru-RU"/>
        </w:rPr>
        <w:t xml:space="preserve">     </w:t>
      </w:r>
      <w:r w:rsidR="009E56B3">
        <w:rPr>
          <w:sz w:val="26"/>
          <w:szCs w:val="26"/>
          <w:lang w:val="ru-RU"/>
        </w:rPr>
        <w:t>15</w:t>
      </w:r>
      <w:r w:rsidR="00031535">
        <w:rPr>
          <w:sz w:val="26"/>
          <w:szCs w:val="26"/>
          <w:lang w:val="ru-RU"/>
        </w:rPr>
        <w:t xml:space="preserve"> </w:t>
      </w:r>
      <w:r w:rsidR="009E56B3">
        <w:rPr>
          <w:sz w:val="26"/>
          <w:szCs w:val="26"/>
          <w:lang w:val="ru-RU"/>
        </w:rPr>
        <w:t>августа</w:t>
      </w:r>
      <w:r w:rsidR="002121A0">
        <w:rPr>
          <w:sz w:val="26"/>
          <w:szCs w:val="26"/>
          <w:lang w:val="ru-RU"/>
        </w:rPr>
        <w:t xml:space="preserve"> </w:t>
      </w:r>
      <w:r w:rsidR="0037496D">
        <w:rPr>
          <w:sz w:val="26"/>
          <w:szCs w:val="26"/>
        </w:rPr>
        <w:t>201</w:t>
      </w:r>
      <w:r w:rsidR="007A073A">
        <w:rPr>
          <w:sz w:val="26"/>
          <w:szCs w:val="26"/>
          <w:lang w:val="ru-RU"/>
        </w:rPr>
        <w:t>6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D5B18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Голосовали: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Члены Правления НП ААС:</w:t>
      </w:r>
    </w:p>
    <w:p w:rsidR="005A15D1" w:rsidRPr="008D5B18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Чая В.Т., </w:t>
      </w:r>
      <w:r w:rsidR="009E56B3">
        <w:rPr>
          <w:sz w:val="26"/>
          <w:szCs w:val="26"/>
          <w:lang w:val="ru-RU" w:eastAsia="ru-RU"/>
        </w:rPr>
        <w:t xml:space="preserve">Бородина Н.В., </w:t>
      </w:r>
      <w:r w:rsidR="00236CC8">
        <w:rPr>
          <w:sz w:val="26"/>
          <w:szCs w:val="26"/>
          <w:lang w:val="ru-RU" w:eastAsia="ru-RU"/>
        </w:rPr>
        <w:t xml:space="preserve">Бутовский В.В., Голенко В.С., Горячева О.В., </w:t>
      </w:r>
      <w:r w:rsidR="00CA2D85">
        <w:rPr>
          <w:sz w:val="26"/>
          <w:szCs w:val="26"/>
          <w:lang w:val="ru-RU" w:eastAsia="ru-RU"/>
        </w:rPr>
        <w:t xml:space="preserve">Жуков С.П., </w:t>
      </w:r>
      <w:r w:rsidR="00775BB6">
        <w:rPr>
          <w:sz w:val="26"/>
          <w:szCs w:val="26"/>
          <w:lang w:val="ru-RU" w:eastAsia="ru-RU"/>
        </w:rPr>
        <w:t xml:space="preserve">Кобозева Н.В., </w:t>
      </w:r>
      <w:r w:rsidR="005A15D1" w:rsidRPr="008D5B18">
        <w:rPr>
          <w:sz w:val="26"/>
          <w:szCs w:val="26"/>
          <w:lang w:val="ru-RU" w:eastAsia="ru-RU"/>
        </w:rPr>
        <w:t xml:space="preserve">Кромин А.Ю., </w:t>
      </w:r>
      <w:r w:rsidR="009E56B3">
        <w:rPr>
          <w:sz w:val="26"/>
          <w:szCs w:val="26"/>
          <w:lang w:val="ru-RU" w:eastAsia="ru-RU"/>
        </w:rPr>
        <w:t xml:space="preserve">Лимаренко Д.Н., </w:t>
      </w:r>
      <w:r w:rsidR="00236CC8">
        <w:rPr>
          <w:sz w:val="26"/>
          <w:szCs w:val="26"/>
          <w:lang w:val="ru-RU" w:eastAsia="ru-RU"/>
        </w:rPr>
        <w:t xml:space="preserve">Майданчик М.И., </w:t>
      </w:r>
      <w:r w:rsidR="00031535">
        <w:rPr>
          <w:sz w:val="26"/>
          <w:szCs w:val="26"/>
          <w:lang w:val="ru-RU" w:eastAsia="ru-RU"/>
        </w:rPr>
        <w:t xml:space="preserve">Михайлович Т.Н., Новиков Д.Б., Носова О.А., </w:t>
      </w:r>
      <w:r w:rsidR="009E56B3">
        <w:rPr>
          <w:sz w:val="26"/>
          <w:szCs w:val="26"/>
          <w:lang w:val="ru-RU" w:eastAsia="ru-RU"/>
        </w:rPr>
        <w:t xml:space="preserve">Рыбенко Г.А., </w:t>
      </w:r>
      <w:r w:rsidR="002E3518">
        <w:rPr>
          <w:sz w:val="26"/>
          <w:szCs w:val="26"/>
          <w:lang w:val="ru-RU" w:eastAsia="ru-RU"/>
        </w:rPr>
        <w:t xml:space="preserve">Симакова М.Ю., </w:t>
      </w:r>
      <w:r w:rsidR="00072D6A">
        <w:rPr>
          <w:sz w:val="26"/>
          <w:szCs w:val="26"/>
          <w:lang w:val="ru-RU" w:eastAsia="ru-RU"/>
        </w:rPr>
        <w:t xml:space="preserve">Старовойтова Е.В., Суйц В.П., </w:t>
      </w:r>
      <w:r w:rsidR="009D1AF5">
        <w:rPr>
          <w:sz w:val="26"/>
          <w:szCs w:val="26"/>
          <w:lang w:val="ru-RU" w:eastAsia="ru-RU"/>
        </w:rPr>
        <w:t xml:space="preserve">Сюткина М.Г., </w:t>
      </w:r>
      <w:r w:rsidR="005A15D1" w:rsidRPr="008D5B18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Default="009E56B3" w:rsidP="00D6511D">
      <w:pPr>
        <w:jc w:val="both"/>
        <w:rPr>
          <w:bCs/>
          <w:sz w:val="26"/>
          <w:szCs w:val="26"/>
        </w:rPr>
      </w:pPr>
      <w:r w:rsidRPr="009E56B3">
        <w:rPr>
          <w:bCs/>
          <w:sz w:val="26"/>
          <w:szCs w:val="26"/>
        </w:rPr>
        <w:t>Итого в голосовании на заседании Правления НП ААС приняло участие 20 из 29 человек, что составляет 69% голосов, кворум для принятия решений имеется.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D5B18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Форма заседания Правления НП ААС – заочная.</w:t>
      </w:r>
    </w:p>
    <w:p w:rsidR="005A15D1" w:rsidRPr="008D5B18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D5B18" w:rsidRDefault="00812DB1" w:rsidP="005A15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="005A15D1" w:rsidRPr="008D5B18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9E56B3">
        <w:rPr>
          <w:sz w:val="26"/>
          <w:szCs w:val="26"/>
        </w:rPr>
        <w:t>15</w:t>
      </w:r>
      <w:r w:rsidR="00A74895">
        <w:rPr>
          <w:sz w:val="26"/>
          <w:szCs w:val="26"/>
        </w:rPr>
        <w:t xml:space="preserve"> </w:t>
      </w:r>
      <w:r w:rsidR="009E56B3">
        <w:rPr>
          <w:sz w:val="26"/>
          <w:szCs w:val="26"/>
        </w:rPr>
        <w:t xml:space="preserve">августа </w:t>
      </w:r>
      <w:r w:rsidR="00F24D2D" w:rsidRPr="008D5B18">
        <w:rPr>
          <w:sz w:val="26"/>
          <w:szCs w:val="26"/>
        </w:rPr>
        <w:t>2016</w:t>
      </w:r>
      <w:r w:rsidR="005A15D1" w:rsidRPr="008D5B18">
        <w:rPr>
          <w:sz w:val="26"/>
          <w:szCs w:val="26"/>
        </w:rPr>
        <w:t xml:space="preserve"> года.</w:t>
      </w:r>
    </w:p>
    <w:p w:rsidR="001E2E66" w:rsidRPr="008D5B18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D5B18" w:rsidRDefault="00610723" w:rsidP="00610723">
      <w:pPr>
        <w:jc w:val="both"/>
        <w:rPr>
          <w:b/>
          <w:bCs/>
          <w:sz w:val="26"/>
          <w:szCs w:val="26"/>
        </w:rPr>
      </w:pPr>
      <w:r w:rsidRPr="008D5B18">
        <w:rPr>
          <w:b/>
          <w:bCs/>
          <w:sz w:val="26"/>
          <w:szCs w:val="26"/>
        </w:rPr>
        <w:t>ПОВЕСТКА ДНЯ:</w:t>
      </w:r>
    </w:p>
    <w:p w:rsidR="00653268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D5B18">
        <w:rPr>
          <w:sz w:val="26"/>
          <w:szCs w:val="26"/>
        </w:rPr>
        <w:t>О приеме в члены НП ААС</w:t>
      </w:r>
      <w:r w:rsidR="00653268" w:rsidRPr="008D5B18">
        <w:rPr>
          <w:sz w:val="26"/>
          <w:szCs w:val="26"/>
        </w:rPr>
        <w:t>.</w:t>
      </w:r>
    </w:p>
    <w:p w:rsidR="009D1AF5" w:rsidRDefault="00775BB6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="00CA2D85">
        <w:rPr>
          <w:sz w:val="26"/>
          <w:szCs w:val="26"/>
        </w:rPr>
        <w:t xml:space="preserve"> смене статуса члена НП ААС</w:t>
      </w:r>
      <w:r>
        <w:rPr>
          <w:sz w:val="26"/>
          <w:szCs w:val="26"/>
        </w:rPr>
        <w:t>.</w:t>
      </w:r>
    </w:p>
    <w:p w:rsidR="00F10A3D" w:rsidRPr="00236CC8" w:rsidRDefault="00F10A3D" w:rsidP="00F10A3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 отложении рассмотрения заявления о выходе из членов НП ААС.</w:t>
      </w:r>
    </w:p>
    <w:p w:rsidR="00F10A3D" w:rsidRDefault="00F10A3D" w:rsidP="00F10A3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НП ААС.</w:t>
      </w:r>
    </w:p>
    <w:p w:rsidR="00F10A3D" w:rsidRDefault="00F10A3D" w:rsidP="00F10A3D">
      <w:pPr>
        <w:numPr>
          <w:ilvl w:val="0"/>
          <w:numId w:val="1"/>
        </w:numPr>
        <w:rPr>
          <w:sz w:val="26"/>
          <w:szCs w:val="26"/>
        </w:rPr>
      </w:pPr>
      <w:r w:rsidRPr="00F10A3D">
        <w:rPr>
          <w:sz w:val="26"/>
          <w:szCs w:val="26"/>
        </w:rPr>
        <w:t>Об  исполнении решения Совета по аудиторской деятельности от 24.03.2016 (протокол № 21) в части установления обязательного прохождения дополнительного обучения по соответствующим программам ПК для аудиторов-членов НП ААС, допустивших нарушения требований 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и получивших по результатам внешней проверки качества их работы оценки 3-4.</w:t>
      </w:r>
    </w:p>
    <w:p w:rsidR="00F10A3D" w:rsidRDefault="00F10A3D" w:rsidP="002A3BF5">
      <w:pPr>
        <w:rPr>
          <w:sz w:val="26"/>
          <w:szCs w:val="26"/>
        </w:rPr>
      </w:pPr>
    </w:p>
    <w:p w:rsidR="00610723" w:rsidRPr="002A3BF5" w:rsidRDefault="00610723" w:rsidP="002A3BF5">
      <w:pPr>
        <w:rPr>
          <w:sz w:val="26"/>
          <w:szCs w:val="26"/>
        </w:rPr>
      </w:pPr>
      <w:r w:rsidRPr="002A3BF5">
        <w:rPr>
          <w:b/>
          <w:sz w:val="26"/>
          <w:szCs w:val="26"/>
        </w:rPr>
        <w:t xml:space="preserve">Решили: </w:t>
      </w:r>
    </w:p>
    <w:p w:rsidR="00610723" w:rsidRPr="008D5B18" w:rsidRDefault="00610723" w:rsidP="00610723">
      <w:pPr>
        <w:rPr>
          <w:sz w:val="26"/>
          <w:szCs w:val="26"/>
        </w:rPr>
      </w:pPr>
      <w:r w:rsidRPr="008D5B18">
        <w:rPr>
          <w:sz w:val="26"/>
          <w:szCs w:val="26"/>
        </w:rPr>
        <w:t>утвердить повестку дня заседания Правления НП ААС.</w:t>
      </w:r>
    </w:p>
    <w:p w:rsidR="00610723" w:rsidRPr="008D5B18" w:rsidRDefault="00610723" w:rsidP="00610723">
      <w:pPr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Решение принято единогласно.</w:t>
      </w:r>
    </w:p>
    <w:p w:rsidR="00360C7A" w:rsidRPr="008D5B18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9E56B3" w:rsidRPr="003E1418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E1418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9E56B3" w:rsidRPr="003E1418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E1418">
        <w:rPr>
          <w:b/>
          <w:sz w:val="26"/>
          <w:szCs w:val="26"/>
        </w:rPr>
        <w:lastRenderedPageBreak/>
        <w:t>О приеме в члены НП ААС</w:t>
      </w:r>
    </w:p>
    <w:p w:rsidR="009E56B3" w:rsidRPr="003E1418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9E56B3" w:rsidRPr="003E1418" w:rsidRDefault="009E56B3" w:rsidP="009E56B3">
      <w:pPr>
        <w:tabs>
          <w:tab w:val="left" w:pos="709"/>
        </w:tabs>
        <w:jc w:val="both"/>
        <w:rPr>
          <w:b/>
          <w:sz w:val="26"/>
          <w:szCs w:val="26"/>
        </w:rPr>
      </w:pPr>
      <w:r w:rsidRPr="003E1418">
        <w:rPr>
          <w:b/>
          <w:sz w:val="26"/>
          <w:szCs w:val="26"/>
        </w:rPr>
        <w:t>Решили:</w:t>
      </w:r>
    </w:p>
    <w:p w:rsidR="009E56B3" w:rsidRPr="00CB5DE7" w:rsidRDefault="009E56B3" w:rsidP="009E56B3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CB5DE7">
        <w:rPr>
          <w:color w:val="000000"/>
          <w:sz w:val="26"/>
          <w:szCs w:val="26"/>
        </w:rPr>
        <w:t xml:space="preserve">1.1. </w:t>
      </w:r>
      <w:r w:rsidRPr="00CB5DE7">
        <w:rPr>
          <w:sz w:val="26"/>
          <w:szCs w:val="26"/>
        </w:rPr>
        <w:t>Принять в члены НП ААС 3 аудиторов</w:t>
      </w:r>
      <w:r w:rsidR="00CB5DE7">
        <w:rPr>
          <w:sz w:val="26"/>
          <w:szCs w:val="26"/>
        </w:rPr>
        <w:t>;</w:t>
      </w:r>
    </w:p>
    <w:p w:rsidR="009E56B3" w:rsidRPr="00CB5DE7" w:rsidRDefault="009E56B3" w:rsidP="009E56B3">
      <w:pPr>
        <w:rPr>
          <w:sz w:val="26"/>
          <w:szCs w:val="26"/>
        </w:rPr>
      </w:pPr>
      <w:r w:rsidRPr="00CB5DE7">
        <w:rPr>
          <w:sz w:val="26"/>
          <w:szCs w:val="26"/>
        </w:rPr>
        <w:t>1.2. Принять в члены НП</w:t>
      </w:r>
      <w:r w:rsidR="00CB5DE7">
        <w:rPr>
          <w:sz w:val="26"/>
          <w:szCs w:val="26"/>
        </w:rPr>
        <w:t xml:space="preserve"> ААС 1 индивидуального аудитора;</w:t>
      </w:r>
    </w:p>
    <w:p w:rsidR="009E56B3" w:rsidRPr="00CB5DE7" w:rsidRDefault="009E56B3" w:rsidP="009E56B3">
      <w:pPr>
        <w:rPr>
          <w:sz w:val="26"/>
          <w:szCs w:val="26"/>
        </w:rPr>
      </w:pPr>
      <w:r w:rsidRPr="00CB5DE7">
        <w:rPr>
          <w:sz w:val="26"/>
          <w:szCs w:val="26"/>
        </w:rPr>
        <w:t>1.3. Принять в члены НП ААС 3 аудиторские организации</w:t>
      </w:r>
      <w:r w:rsidR="00CB5DE7">
        <w:rPr>
          <w:sz w:val="26"/>
          <w:szCs w:val="26"/>
        </w:rPr>
        <w:t>.</w:t>
      </w:r>
    </w:p>
    <w:p w:rsidR="009E56B3" w:rsidRDefault="009E56B3" w:rsidP="009E56B3">
      <w:pPr>
        <w:jc w:val="both"/>
        <w:rPr>
          <w:b/>
          <w:sz w:val="26"/>
          <w:szCs w:val="26"/>
        </w:rPr>
      </w:pPr>
      <w:r w:rsidRPr="003E1418">
        <w:rPr>
          <w:b/>
          <w:sz w:val="26"/>
          <w:szCs w:val="26"/>
        </w:rPr>
        <w:t>Решение принято единогласно</w:t>
      </w:r>
    </w:p>
    <w:p w:rsidR="009E56B3" w:rsidRPr="003E1418" w:rsidRDefault="009E56B3" w:rsidP="009E56B3">
      <w:pPr>
        <w:jc w:val="both"/>
        <w:rPr>
          <w:b/>
          <w:sz w:val="26"/>
          <w:szCs w:val="26"/>
        </w:rPr>
      </w:pPr>
    </w:p>
    <w:p w:rsidR="009E56B3" w:rsidRPr="003E1418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E1418">
        <w:rPr>
          <w:b/>
          <w:i/>
          <w:sz w:val="26"/>
          <w:szCs w:val="26"/>
          <w:u w:val="single"/>
        </w:rPr>
        <w:t>По второму вопросу</w:t>
      </w:r>
    </w:p>
    <w:p w:rsidR="009E56B3" w:rsidRPr="003E1418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3E1418">
        <w:rPr>
          <w:b/>
          <w:sz w:val="26"/>
          <w:szCs w:val="26"/>
        </w:rPr>
        <w:t xml:space="preserve">О смене статуса члена НП ААС </w:t>
      </w:r>
    </w:p>
    <w:p w:rsidR="009E56B3" w:rsidRPr="003E1418" w:rsidRDefault="009E56B3" w:rsidP="009E56B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E56B3" w:rsidRPr="003E1418" w:rsidRDefault="009E56B3" w:rsidP="009E56B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E1418">
        <w:rPr>
          <w:b/>
          <w:sz w:val="26"/>
          <w:szCs w:val="26"/>
        </w:rPr>
        <w:t>Решили:</w:t>
      </w:r>
    </w:p>
    <w:p w:rsidR="009E56B3" w:rsidRPr="00CB5DE7" w:rsidRDefault="009E56B3" w:rsidP="009E56B3">
      <w:pPr>
        <w:jc w:val="both"/>
        <w:rPr>
          <w:sz w:val="26"/>
          <w:szCs w:val="26"/>
        </w:rPr>
      </w:pPr>
      <w:r w:rsidRPr="00CB5DE7">
        <w:rPr>
          <w:sz w:val="26"/>
          <w:szCs w:val="26"/>
        </w:rPr>
        <w:t>2.1. Сменить статус члена НП ААС со статуса аудитора на статус ИП 2 аудиторам</w:t>
      </w:r>
      <w:r w:rsidR="00CB5DE7">
        <w:rPr>
          <w:sz w:val="26"/>
          <w:szCs w:val="26"/>
        </w:rPr>
        <w:t>.</w:t>
      </w:r>
    </w:p>
    <w:p w:rsidR="009E56B3" w:rsidRDefault="009E56B3" w:rsidP="009E56B3">
      <w:pPr>
        <w:rPr>
          <w:b/>
          <w:sz w:val="26"/>
          <w:szCs w:val="26"/>
        </w:rPr>
      </w:pPr>
      <w:r w:rsidRPr="003E1418">
        <w:rPr>
          <w:b/>
          <w:sz w:val="26"/>
          <w:szCs w:val="26"/>
        </w:rPr>
        <w:t>Решение принято единогласно</w:t>
      </w:r>
    </w:p>
    <w:p w:rsidR="009E56B3" w:rsidRPr="003E1418" w:rsidRDefault="009E56B3" w:rsidP="009E56B3">
      <w:pPr>
        <w:rPr>
          <w:b/>
          <w:sz w:val="26"/>
          <w:szCs w:val="26"/>
        </w:rPr>
      </w:pPr>
    </w:p>
    <w:p w:rsidR="009E56B3" w:rsidRPr="003E1418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E1418">
        <w:rPr>
          <w:b/>
          <w:i/>
          <w:sz w:val="26"/>
          <w:szCs w:val="26"/>
          <w:u w:val="single"/>
        </w:rPr>
        <w:t>По третьему вопросу</w:t>
      </w:r>
    </w:p>
    <w:p w:rsidR="009E56B3" w:rsidRPr="003E1418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272727"/>
          <w:sz w:val="26"/>
          <w:szCs w:val="26"/>
        </w:rPr>
      </w:pPr>
      <w:r w:rsidRPr="003E1418">
        <w:rPr>
          <w:b/>
          <w:color w:val="272727"/>
          <w:sz w:val="26"/>
          <w:szCs w:val="26"/>
        </w:rPr>
        <w:t>Об отложении рассмотрения заявления о выходе из членов НП ААС</w:t>
      </w:r>
    </w:p>
    <w:p w:rsidR="009E56B3" w:rsidRPr="003E1418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9E56B3" w:rsidRPr="003E1418" w:rsidRDefault="009E56B3" w:rsidP="009E56B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E1418">
        <w:rPr>
          <w:b/>
          <w:sz w:val="26"/>
          <w:szCs w:val="26"/>
        </w:rPr>
        <w:t>Решили:</w:t>
      </w:r>
    </w:p>
    <w:p w:rsidR="009E56B3" w:rsidRPr="00CB5DE7" w:rsidRDefault="009E56B3" w:rsidP="009E56B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CB5DE7">
        <w:rPr>
          <w:rFonts w:eastAsiaTheme="minorHAnsi"/>
          <w:color w:val="000000"/>
          <w:sz w:val="26"/>
          <w:szCs w:val="26"/>
          <w:lang w:eastAsia="en-US"/>
        </w:rPr>
        <w:t>3.1. Отложить рассмотрение заявления о выходе из членов НП ААС на основании п.10.4.1. Положения о членстве НП ААС 1 аудиторской организации</w:t>
      </w:r>
      <w:r w:rsidR="00CB5DE7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9E56B3" w:rsidRPr="0001633A" w:rsidRDefault="00CB5DE7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 xml:space="preserve"> </w:t>
      </w:r>
      <w:r w:rsidR="009E56B3" w:rsidRPr="0001633A">
        <w:rPr>
          <w:b/>
          <w:sz w:val="26"/>
          <w:szCs w:val="26"/>
        </w:rPr>
        <w:t xml:space="preserve">«За» - </w:t>
      </w:r>
      <w:r w:rsidR="009E56B3">
        <w:rPr>
          <w:b/>
          <w:sz w:val="26"/>
          <w:szCs w:val="26"/>
        </w:rPr>
        <w:t>19</w:t>
      </w:r>
      <w:r w:rsidR="009E56B3" w:rsidRPr="0001633A">
        <w:rPr>
          <w:b/>
          <w:sz w:val="26"/>
          <w:szCs w:val="26"/>
        </w:rPr>
        <w:t xml:space="preserve"> голосов</w:t>
      </w:r>
    </w:p>
    <w:p w:rsidR="009E56B3" w:rsidRPr="0001633A" w:rsidRDefault="009E56B3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>«Против» - 0 голосов</w:t>
      </w:r>
    </w:p>
    <w:p w:rsidR="009E56B3" w:rsidRPr="0001633A" w:rsidRDefault="009E56B3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>«Воздержался» - 1 голос</w:t>
      </w:r>
    </w:p>
    <w:p w:rsidR="009E56B3" w:rsidRPr="003E1418" w:rsidRDefault="009E56B3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>«Особое мнение» - 0 голосов</w:t>
      </w:r>
    </w:p>
    <w:p w:rsidR="009E56B3" w:rsidRPr="00B308BB" w:rsidRDefault="009E56B3" w:rsidP="009E56B3">
      <w:pPr>
        <w:autoSpaceDE w:val="0"/>
        <w:autoSpaceDN w:val="0"/>
        <w:adjustRightInd w:val="0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9E56B3" w:rsidRPr="00CB5DE7" w:rsidRDefault="009E56B3" w:rsidP="009E56B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CB5DE7">
        <w:rPr>
          <w:rFonts w:eastAsiaTheme="minorHAnsi"/>
          <w:color w:val="000000"/>
          <w:sz w:val="26"/>
          <w:szCs w:val="26"/>
          <w:lang w:eastAsia="en-US"/>
        </w:rPr>
        <w:t>3.2. Отложить рассмотрение заявления о выходе из членов НП ААС на основании п.10.4.2. Положения о членстве Н</w:t>
      </w:r>
      <w:r w:rsidR="00CB5DE7">
        <w:rPr>
          <w:rFonts w:eastAsiaTheme="minorHAnsi"/>
          <w:color w:val="000000"/>
          <w:sz w:val="26"/>
          <w:szCs w:val="26"/>
          <w:lang w:eastAsia="en-US"/>
        </w:rPr>
        <w:t>П ААС 1 аудиторской организации.</w:t>
      </w:r>
      <w:r w:rsidRPr="00CB5DE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9E56B3" w:rsidRPr="0001633A" w:rsidRDefault="00CB5DE7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 xml:space="preserve"> </w:t>
      </w:r>
      <w:r w:rsidR="009E56B3" w:rsidRPr="0001633A">
        <w:rPr>
          <w:b/>
          <w:sz w:val="26"/>
          <w:szCs w:val="26"/>
        </w:rPr>
        <w:t xml:space="preserve">«За» - </w:t>
      </w:r>
      <w:r w:rsidR="009E56B3">
        <w:rPr>
          <w:b/>
          <w:sz w:val="26"/>
          <w:szCs w:val="26"/>
        </w:rPr>
        <w:t>19</w:t>
      </w:r>
      <w:r w:rsidR="009E56B3" w:rsidRPr="0001633A">
        <w:rPr>
          <w:b/>
          <w:sz w:val="26"/>
          <w:szCs w:val="26"/>
        </w:rPr>
        <w:t xml:space="preserve"> голосов</w:t>
      </w:r>
    </w:p>
    <w:p w:rsidR="009E56B3" w:rsidRPr="0001633A" w:rsidRDefault="009E56B3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>«Против» - 0 голосов</w:t>
      </w:r>
    </w:p>
    <w:p w:rsidR="009E56B3" w:rsidRPr="0001633A" w:rsidRDefault="009E56B3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>«Воздержался» - 1 голос</w:t>
      </w:r>
    </w:p>
    <w:p w:rsidR="009E56B3" w:rsidRPr="003E1418" w:rsidRDefault="009E56B3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>«Особое мнение» - 0 голосов</w:t>
      </w:r>
    </w:p>
    <w:p w:rsidR="009E56B3" w:rsidRPr="003E1418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E56B3" w:rsidRPr="003E1418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E1418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четвертому</w:t>
      </w:r>
      <w:r w:rsidRPr="003E1418">
        <w:rPr>
          <w:b/>
          <w:i/>
          <w:sz w:val="26"/>
          <w:szCs w:val="26"/>
          <w:u w:val="single"/>
        </w:rPr>
        <w:t xml:space="preserve"> вопросу</w:t>
      </w:r>
    </w:p>
    <w:p w:rsidR="009E56B3" w:rsidRPr="003E1418" w:rsidRDefault="009E56B3" w:rsidP="009E56B3">
      <w:pPr>
        <w:jc w:val="both"/>
        <w:rPr>
          <w:b/>
          <w:sz w:val="26"/>
          <w:szCs w:val="26"/>
        </w:rPr>
      </w:pPr>
      <w:r w:rsidRPr="003E1418">
        <w:rPr>
          <w:b/>
          <w:sz w:val="26"/>
          <w:szCs w:val="26"/>
        </w:rPr>
        <w:t>О прекращении членства в НП ААС</w:t>
      </w:r>
    </w:p>
    <w:p w:rsidR="009E56B3" w:rsidRPr="003E1418" w:rsidRDefault="009E56B3" w:rsidP="009E56B3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bookmarkStart w:id="3" w:name="_GoBack"/>
      <w:bookmarkEnd w:id="3"/>
      <w:r w:rsidRPr="003E1418">
        <w:rPr>
          <w:b/>
          <w:color w:val="000000"/>
          <w:sz w:val="26"/>
          <w:szCs w:val="26"/>
        </w:rPr>
        <w:tab/>
      </w:r>
      <w:r w:rsidRPr="003E1418">
        <w:rPr>
          <w:b/>
          <w:color w:val="000000"/>
          <w:sz w:val="26"/>
          <w:szCs w:val="26"/>
        </w:rPr>
        <w:tab/>
      </w:r>
    </w:p>
    <w:p w:rsidR="009E56B3" w:rsidRPr="003E1418" w:rsidRDefault="009E56B3" w:rsidP="009E56B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E1418">
        <w:rPr>
          <w:b/>
          <w:sz w:val="26"/>
          <w:szCs w:val="26"/>
        </w:rPr>
        <w:t>Решили:</w:t>
      </w:r>
    </w:p>
    <w:p w:rsidR="009E56B3" w:rsidRPr="00CB5DE7" w:rsidRDefault="009E56B3" w:rsidP="009E56B3">
      <w:pPr>
        <w:jc w:val="both"/>
        <w:rPr>
          <w:sz w:val="26"/>
          <w:szCs w:val="26"/>
        </w:rPr>
      </w:pPr>
      <w:r w:rsidRPr="00CB5DE7">
        <w:rPr>
          <w:sz w:val="26"/>
          <w:szCs w:val="26"/>
        </w:rPr>
        <w:t>4.1.</w:t>
      </w:r>
      <w:r w:rsidRPr="00CB5DE7">
        <w:rPr>
          <w:sz w:val="20"/>
          <w:szCs w:val="20"/>
        </w:rPr>
        <w:t xml:space="preserve"> </w:t>
      </w:r>
      <w:r w:rsidRPr="00CB5DE7">
        <w:rPr>
          <w:sz w:val="26"/>
          <w:szCs w:val="26"/>
        </w:rPr>
        <w:t>Прекратить членство в НП ААС на основании поданного заявления 3 аудиторов</w:t>
      </w:r>
      <w:r w:rsidR="00CB5DE7" w:rsidRPr="00CB5DE7">
        <w:rPr>
          <w:sz w:val="26"/>
          <w:szCs w:val="26"/>
        </w:rPr>
        <w:t>;</w:t>
      </w:r>
    </w:p>
    <w:p w:rsidR="009E56B3" w:rsidRPr="00CB5DE7" w:rsidRDefault="009E56B3" w:rsidP="009E56B3">
      <w:pPr>
        <w:jc w:val="both"/>
        <w:rPr>
          <w:sz w:val="26"/>
          <w:szCs w:val="26"/>
        </w:rPr>
      </w:pPr>
      <w:r w:rsidRPr="00CB5DE7">
        <w:rPr>
          <w:sz w:val="26"/>
          <w:szCs w:val="26"/>
        </w:rPr>
        <w:t>4.2. Прекратить членство в НП ААС на основании поданного заявления 4 аудиторских организаций</w:t>
      </w:r>
      <w:r w:rsidR="00CB5DE7" w:rsidRPr="00CB5DE7">
        <w:rPr>
          <w:sz w:val="26"/>
          <w:szCs w:val="26"/>
        </w:rPr>
        <w:t>;</w:t>
      </w:r>
    </w:p>
    <w:p w:rsidR="009E56B3" w:rsidRPr="00CB5DE7" w:rsidRDefault="009E56B3" w:rsidP="009E56B3">
      <w:pPr>
        <w:jc w:val="both"/>
        <w:rPr>
          <w:sz w:val="26"/>
          <w:szCs w:val="26"/>
        </w:rPr>
      </w:pPr>
      <w:r w:rsidRPr="00CB5DE7">
        <w:rPr>
          <w:sz w:val="26"/>
          <w:szCs w:val="26"/>
        </w:rPr>
        <w:t>4.3. Прекратить членство в НП ААС в связи с ликвидацией 1 аудиторской организации</w:t>
      </w:r>
      <w:r w:rsidR="00CB5DE7" w:rsidRPr="00CB5DE7">
        <w:rPr>
          <w:sz w:val="26"/>
          <w:szCs w:val="26"/>
        </w:rPr>
        <w:t>.</w:t>
      </w:r>
      <w:r w:rsidRPr="00CB5DE7">
        <w:rPr>
          <w:sz w:val="26"/>
          <w:szCs w:val="26"/>
        </w:rPr>
        <w:t xml:space="preserve"> </w:t>
      </w:r>
    </w:p>
    <w:p w:rsidR="009E56B3" w:rsidRPr="003E1418" w:rsidRDefault="009E56B3" w:rsidP="009E56B3">
      <w:pPr>
        <w:jc w:val="both"/>
        <w:rPr>
          <w:b/>
          <w:sz w:val="26"/>
          <w:szCs w:val="26"/>
        </w:rPr>
      </w:pPr>
      <w:r w:rsidRPr="003E1418">
        <w:rPr>
          <w:b/>
          <w:sz w:val="26"/>
          <w:szCs w:val="26"/>
        </w:rPr>
        <w:t>Решение принято единогласно</w:t>
      </w:r>
    </w:p>
    <w:p w:rsidR="009E56B3" w:rsidRPr="003E1418" w:rsidRDefault="009E56B3" w:rsidP="009E56B3">
      <w:pPr>
        <w:jc w:val="both"/>
        <w:rPr>
          <w:b/>
          <w:sz w:val="26"/>
          <w:szCs w:val="26"/>
        </w:rPr>
      </w:pPr>
    </w:p>
    <w:p w:rsidR="009E56B3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9E56B3" w:rsidRPr="003E1418" w:rsidRDefault="009E56B3" w:rsidP="009E56B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E1418">
        <w:rPr>
          <w:b/>
          <w:i/>
          <w:sz w:val="26"/>
          <w:szCs w:val="26"/>
          <w:u w:val="single"/>
        </w:rPr>
        <w:t>По пятому вопросу</w:t>
      </w:r>
    </w:p>
    <w:p w:rsidR="009E56B3" w:rsidRPr="00B308BB" w:rsidRDefault="009E56B3" w:rsidP="009E56B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B308BB">
        <w:rPr>
          <w:rFonts w:eastAsiaTheme="minorHAnsi"/>
          <w:b/>
          <w:bCs/>
          <w:iCs/>
          <w:sz w:val="26"/>
          <w:szCs w:val="26"/>
          <w:lang w:eastAsia="en-US"/>
        </w:rPr>
        <w:t xml:space="preserve">Об  исполнении решения Совета по аудиторской деятельности от 24.03.2016 (протокол № 21) в части </w:t>
      </w:r>
      <w:r w:rsidRPr="00B308BB">
        <w:rPr>
          <w:rFonts w:eastAsiaTheme="minorHAnsi"/>
          <w:b/>
          <w:iCs/>
          <w:sz w:val="26"/>
          <w:szCs w:val="26"/>
          <w:lang w:eastAsia="en-US"/>
        </w:rPr>
        <w:t xml:space="preserve">установления обязательного прохождения дополнительного обучения по соответствующим программам ПК для аудиторов-членов НП ААС, допустивших нарушения требований 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</w:r>
      <w:r w:rsidRPr="00B308BB">
        <w:rPr>
          <w:rFonts w:eastAsiaTheme="minorHAnsi"/>
          <w:b/>
          <w:iCs/>
          <w:sz w:val="26"/>
          <w:szCs w:val="26"/>
          <w:lang w:eastAsia="en-US"/>
        </w:rPr>
        <w:lastRenderedPageBreak/>
        <w:t>аудиторов, и получивших по результатам внешней проверки качества их работы оценки 3-4.</w:t>
      </w:r>
    </w:p>
    <w:p w:rsidR="009E56B3" w:rsidRPr="00B308BB" w:rsidRDefault="009E56B3" w:rsidP="009E56B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E56B3" w:rsidRDefault="009E56B3" w:rsidP="009E56B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E1418">
        <w:rPr>
          <w:b/>
          <w:sz w:val="26"/>
          <w:szCs w:val="26"/>
        </w:rPr>
        <w:t>Решили:</w:t>
      </w:r>
    </w:p>
    <w:p w:rsidR="009E56B3" w:rsidRPr="00B308BB" w:rsidRDefault="009E56B3" w:rsidP="009E56B3">
      <w:pPr>
        <w:tabs>
          <w:tab w:val="left" w:pos="432"/>
          <w:tab w:val="left" w:pos="709"/>
        </w:tabs>
        <w:jc w:val="both"/>
        <w:rPr>
          <w:rFonts w:eastAsiaTheme="minorHAnsi"/>
          <w:b/>
          <w:iCs/>
          <w:sz w:val="26"/>
          <w:szCs w:val="26"/>
          <w:lang w:eastAsia="en-US"/>
        </w:rPr>
      </w:pPr>
      <w:r w:rsidRPr="00B308BB">
        <w:rPr>
          <w:b/>
          <w:sz w:val="26"/>
          <w:szCs w:val="26"/>
        </w:rPr>
        <w:t xml:space="preserve">5.1. </w:t>
      </w:r>
      <w:r w:rsidRPr="00B308BB">
        <w:rPr>
          <w:rFonts w:eastAsiaTheme="minorHAnsi"/>
          <w:b/>
          <w:bCs/>
          <w:iCs/>
          <w:sz w:val="26"/>
          <w:szCs w:val="26"/>
          <w:lang w:eastAsia="en-US"/>
        </w:rPr>
        <w:t xml:space="preserve">В части исполнения решения Совета по аудиторской деятельности от 24.03.2016 г. (протокол № 21) </w:t>
      </w:r>
      <w:r w:rsidRPr="00B308BB">
        <w:rPr>
          <w:rFonts w:eastAsiaTheme="minorHAnsi"/>
          <w:b/>
          <w:iCs/>
          <w:sz w:val="26"/>
          <w:szCs w:val="26"/>
          <w:lang w:eastAsia="en-US"/>
        </w:rPr>
        <w:t>установить обязательное прохождение дополнительного обучения по соответствующим программам повышения квалификации для аудиторов-членов НП ААС, допустивших нарушения требований 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и получивших по результатам внешней проверки качества их работы оценки 3-4.</w:t>
      </w:r>
    </w:p>
    <w:p w:rsidR="009E56B3" w:rsidRPr="00B308BB" w:rsidRDefault="009E56B3" w:rsidP="009E56B3">
      <w:pPr>
        <w:spacing w:after="160" w:line="259" w:lineRule="auto"/>
        <w:jc w:val="both"/>
        <w:rPr>
          <w:rFonts w:eastAsiaTheme="minorHAnsi"/>
          <w:b/>
          <w:iCs/>
          <w:sz w:val="26"/>
          <w:szCs w:val="26"/>
          <w:lang w:eastAsia="en-US"/>
        </w:rPr>
      </w:pPr>
      <w:r w:rsidRPr="00B308BB">
        <w:rPr>
          <w:rFonts w:eastAsiaTheme="minorHAnsi"/>
          <w:b/>
          <w:iCs/>
          <w:sz w:val="26"/>
          <w:szCs w:val="26"/>
          <w:lang w:eastAsia="en-US"/>
        </w:rPr>
        <w:t xml:space="preserve">Признавать прохождением обучения по соответствующей программе повышения квалификации просмотр </w:t>
      </w:r>
      <w:proofErr w:type="spellStart"/>
      <w:r w:rsidRPr="00B308BB">
        <w:rPr>
          <w:rFonts w:eastAsiaTheme="minorHAnsi"/>
          <w:b/>
          <w:iCs/>
          <w:sz w:val="26"/>
          <w:szCs w:val="26"/>
          <w:lang w:eastAsia="en-US"/>
        </w:rPr>
        <w:t>вебинара</w:t>
      </w:r>
      <w:proofErr w:type="spellEnd"/>
      <w:r w:rsidRPr="00B308BB">
        <w:rPr>
          <w:rFonts w:eastAsiaTheme="minorHAnsi"/>
          <w:b/>
          <w:iCs/>
          <w:sz w:val="26"/>
          <w:szCs w:val="26"/>
          <w:lang w:eastAsia="en-US"/>
        </w:rPr>
        <w:t xml:space="preserve"> «Обобщение практики ВККР: Типовые ошибки» (</w:t>
      </w:r>
      <w:hyperlink r:id="rId10" w:history="1">
        <w:r w:rsidRPr="00B308BB">
          <w:rPr>
            <w:rFonts w:eastAsiaTheme="minorHAnsi"/>
            <w:b/>
            <w:iCs/>
            <w:color w:val="0563C1" w:themeColor="hyperlink"/>
            <w:sz w:val="26"/>
            <w:szCs w:val="26"/>
            <w:u w:val="single"/>
            <w:lang w:eastAsia="en-US"/>
          </w:rPr>
          <w:t>http://www.auditor-sro.org/pc/vebinar/vebinar_20/</w:t>
        </w:r>
      </w:hyperlink>
      <w:r w:rsidRPr="00B308BB">
        <w:rPr>
          <w:rFonts w:eastAsiaTheme="minorHAnsi"/>
          <w:b/>
          <w:iCs/>
          <w:sz w:val="26"/>
          <w:szCs w:val="26"/>
          <w:lang w:eastAsia="en-US"/>
        </w:rPr>
        <w:t xml:space="preserve">). </w:t>
      </w:r>
    </w:p>
    <w:p w:rsidR="009E56B3" w:rsidRPr="0001633A" w:rsidRDefault="009E56B3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19</w:t>
      </w:r>
      <w:r w:rsidRPr="0001633A">
        <w:rPr>
          <w:b/>
          <w:sz w:val="26"/>
          <w:szCs w:val="26"/>
        </w:rPr>
        <w:t xml:space="preserve"> голосов</w:t>
      </w:r>
    </w:p>
    <w:p w:rsidR="009E56B3" w:rsidRPr="0001633A" w:rsidRDefault="009E56B3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>«Против» - 0 голосов</w:t>
      </w:r>
    </w:p>
    <w:p w:rsidR="009E56B3" w:rsidRPr="0001633A" w:rsidRDefault="009E56B3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>«Воздержался» - 1 голос</w:t>
      </w:r>
    </w:p>
    <w:p w:rsidR="009E56B3" w:rsidRPr="003E1418" w:rsidRDefault="009E56B3" w:rsidP="009E56B3">
      <w:pPr>
        <w:jc w:val="both"/>
        <w:rPr>
          <w:b/>
          <w:sz w:val="26"/>
          <w:szCs w:val="26"/>
        </w:rPr>
      </w:pPr>
      <w:r w:rsidRPr="0001633A">
        <w:rPr>
          <w:b/>
          <w:sz w:val="26"/>
          <w:szCs w:val="26"/>
        </w:rPr>
        <w:t>«Особое мнение» - 0 голосов</w:t>
      </w:r>
    </w:p>
    <w:p w:rsidR="00775BB6" w:rsidRDefault="00775BB6" w:rsidP="00687A9C">
      <w:pPr>
        <w:jc w:val="both"/>
        <w:rPr>
          <w:sz w:val="26"/>
          <w:szCs w:val="26"/>
        </w:rPr>
      </w:pPr>
    </w:p>
    <w:p w:rsidR="00697532" w:rsidRPr="008A76A2" w:rsidRDefault="00313EE8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A76A2">
        <w:rPr>
          <w:sz w:val="26"/>
          <w:szCs w:val="26"/>
        </w:rPr>
        <w:t xml:space="preserve"> Н</w:t>
      </w:r>
      <w:r w:rsidRPr="008A76A2">
        <w:rPr>
          <w:sz w:val="26"/>
          <w:szCs w:val="26"/>
        </w:rPr>
        <w:t>осовой О.А.</w:t>
      </w:r>
    </w:p>
    <w:p w:rsidR="001317CF" w:rsidRDefault="001317CF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Подписи:</w:t>
      </w:r>
    </w:p>
    <w:p w:rsidR="00014743" w:rsidRDefault="00014743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Председатель Правления НП ААС </w:t>
      </w:r>
      <w:r w:rsidR="008A76A2" w:rsidRPr="00014743">
        <w:rPr>
          <w:sz w:val="26"/>
          <w:szCs w:val="26"/>
        </w:rPr>
        <w:t>______________________</w:t>
      </w:r>
      <w:r w:rsidRPr="008A76A2">
        <w:rPr>
          <w:sz w:val="26"/>
          <w:szCs w:val="26"/>
        </w:rPr>
        <w:t xml:space="preserve"> </w:t>
      </w:r>
      <w:r w:rsidR="00F272CA" w:rsidRPr="008A76A2">
        <w:rPr>
          <w:sz w:val="26"/>
          <w:szCs w:val="26"/>
        </w:rPr>
        <w:t>В.Т. Чая</w:t>
      </w:r>
    </w:p>
    <w:p w:rsidR="00050C92" w:rsidRPr="008A76A2" w:rsidRDefault="00050C92" w:rsidP="00687A9C">
      <w:pPr>
        <w:jc w:val="both"/>
        <w:rPr>
          <w:sz w:val="16"/>
          <w:szCs w:val="16"/>
        </w:rPr>
      </w:pPr>
    </w:p>
    <w:p w:rsidR="0037304E" w:rsidRPr="008A76A2" w:rsidRDefault="000A3FEE" w:rsidP="00392626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A76A2" w:rsidSect="002E3518">
      <w:footerReference w:type="even" r:id="rId11"/>
      <w:footerReference w:type="default" r:id="rId12"/>
      <w:pgSz w:w="11906" w:h="16838"/>
      <w:pgMar w:top="568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7489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994087">
      <w:rPr>
        <w:i/>
        <w:lang w:val="ru-RU"/>
      </w:rPr>
      <w:t>22</w:t>
    </w:r>
    <w:r w:rsidR="009E56B3">
      <w:rPr>
        <w:i/>
        <w:lang w:val="ru-RU"/>
      </w:rPr>
      <w:t>7</w:t>
    </w:r>
    <w:r>
      <w:rPr>
        <w:i/>
      </w:rPr>
      <w:t xml:space="preserve"> Заседания Правления НП ААС от </w:t>
    </w:r>
    <w:r w:rsidR="009E56B3">
      <w:rPr>
        <w:i/>
        <w:lang w:val="ru-RU"/>
      </w:rPr>
      <w:t>15</w:t>
    </w:r>
    <w:r w:rsidR="00031535">
      <w:rPr>
        <w:i/>
        <w:lang w:val="ru-RU"/>
      </w:rPr>
      <w:t xml:space="preserve"> </w:t>
    </w:r>
    <w:r w:rsidR="009E56B3">
      <w:rPr>
        <w:i/>
        <w:lang w:val="ru-RU"/>
      </w:rPr>
      <w:t>августа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CB5DE7">
      <w:rPr>
        <w:i/>
        <w:noProof/>
      </w:rPr>
      <w:t>2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236CC8">
      <w:rPr>
        <w:i/>
        <w:lang w:val="ru-RU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C596E"/>
    <w:multiLevelType w:val="hybridMultilevel"/>
    <w:tmpl w:val="45E252E0"/>
    <w:lvl w:ilvl="0" w:tplc="F372F8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A0490"/>
    <w:multiLevelType w:val="hybridMultilevel"/>
    <w:tmpl w:val="4DD65BEE"/>
    <w:lvl w:ilvl="0" w:tplc="9B906D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776"/>
    <w:multiLevelType w:val="hybridMultilevel"/>
    <w:tmpl w:val="9FC26D10"/>
    <w:lvl w:ilvl="0" w:tplc="C5362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6C67"/>
    <w:multiLevelType w:val="hybridMultilevel"/>
    <w:tmpl w:val="E84AF358"/>
    <w:lvl w:ilvl="0" w:tplc="C0D2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C3FEF"/>
    <w:multiLevelType w:val="hybridMultilevel"/>
    <w:tmpl w:val="13063E66"/>
    <w:lvl w:ilvl="0" w:tplc="D238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5AA"/>
    <w:multiLevelType w:val="hybridMultilevel"/>
    <w:tmpl w:val="B84A9A52"/>
    <w:lvl w:ilvl="0" w:tplc="E192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F4F10"/>
    <w:multiLevelType w:val="hybridMultilevel"/>
    <w:tmpl w:val="17FEB510"/>
    <w:lvl w:ilvl="0" w:tplc="5EA2F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924AF"/>
    <w:multiLevelType w:val="hybridMultilevel"/>
    <w:tmpl w:val="316C88D2"/>
    <w:lvl w:ilvl="0" w:tplc="8CB0E5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66B94"/>
    <w:multiLevelType w:val="hybridMultilevel"/>
    <w:tmpl w:val="E108A2B2"/>
    <w:lvl w:ilvl="0" w:tplc="9664F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272CA"/>
    <w:multiLevelType w:val="hybridMultilevel"/>
    <w:tmpl w:val="2390B87A"/>
    <w:lvl w:ilvl="0" w:tplc="E192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11E2"/>
    <w:multiLevelType w:val="hybridMultilevel"/>
    <w:tmpl w:val="F76E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B6932"/>
    <w:multiLevelType w:val="hybridMultilevel"/>
    <w:tmpl w:val="CD60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64D39"/>
    <w:multiLevelType w:val="hybridMultilevel"/>
    <w:tmpl w:val="D812AB68"/>
    <w:lvl w:ilvl="0" w:tplc="D7687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40991"/>
    <w:multiLevelType w:val="hybridMultilevel"/>
    <w:tmpl w:val="6FE2A56A"/>
    <w:lvl w:ilvl="0" w:tplc="E192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B2318"/>
    <w:multiLevelType w:val="hybridMultilevel"/>
    <w:tmpl w:val="DE2CE2A2"/>
    <w:lvl w:ilvl="0" w:tplc="AE3009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7C32"/>
    <w:multiLevelType w:val="hybridMultilevel"/>
    <w:tmpl w:val="E87C703C"/>
    <w:lvl w:ilvl="0" w:tplc="70DAE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7215"/>
    <w:multiLevelType w:val="hybridMultilevel"/>
    <w:tmpl w:val="32C29B60"/>
    <w:lvl w:ilvl="0" w:tplc="CC28A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D1B38"/>
    <w:multiLevelType w:val="hybridMultilevel"/>
    <w:tmpl w:val="AE70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E7350"/>
    <w:multiLevelType w:val="hybridMultilevel"/>
    <w:tmpl w:val="5FB2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E42BB"/>
    <w:multiLevelType w:val="hybridMultilevel"/>
    <w:tmpl w:val="C6065612"/>
    <w:lvl w:ilvl="0" w:tplc="5EA2F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3E0D"/>
    <w:multiLevelType w:val="hybridMultilevel"/>
    <w:tmpl w:val="B1349E46"/>
    <w:lvl w:ilvl="0" w:tplc="83665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B281D"/>
    <w:multiLevelType w:val="hybridMultilevel"/>
    <w:tmpl w:val="AA1EEFA8"/>
    <w:lvl w:ilvl="0" w:tplc="9ED85C48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189C"/>
    <w:multiLevelType w:val="hybridMultilevel"/>
    <w:tmpl w:val="2B3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03D0"/>
    <w:multiLevelType w:val="hybridMultilevel"/>
    <w:tmpl w:val="BD6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73D48"/>
    <w:multiLevelType w:val="hybridMultilevel"/>
    <w:tmpl w:val="1E7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E5225"/>
    <w:multiLevelType w:val="hybridMultilevel"/>
    <w:tmpl w:val="5CB02418"/>
    <w:lvl w:ilvl="0" w:tplc="70DAE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773F2"/>
    <w:multiLevelType w:val="hybridMultilevel"/>
    <w:tmpl w:val="3E3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47A07"/>
    <w:multiLevelType w:val="hybridMultilevel"/>
    <w:tmpl w:val="871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33"/>
  </w:num>
  <w:num w:numId="5">
    <w:abstractNumId w:val="18"/>
  </w:num>
  <w:num w:numId="6">
    <w:abstractNumId w:val="28"/>
  </w:num>
  <w:num w:numId="7">
    <w:abstractNumId w:val="35"/>
  </w:num>
  <w:num w:numId="8">
    <w:abstractNumId w:val="9"/>
  </w:num>
  <w:num w:numId="9">
    <w:abstractNumId w:val="26"/>
  </w:num>
  <w:num w:numId="10">
    <w:abstractNumId w:val="19"/>
  </w:num>
  <w:num w:numId="11">
    <w:abstractNumId w:val="37"/>
  </w:num>
  <w:num w:numId="12">
    <w:abstractNumId w:val="40"/>
  </w:num>
  <w:num w:numId="13">
    <w:abstractNumId w:val="36"/>
  </w:num>
  <w:num w:numId="14">
    <w:abstractNumId w:val="34"/>
  </w:num>
  <w:num w:numId="15">
    <w:abstractNumId w:val="21"/>
  </w:num>
  <w:num w:numId="16">
    <w:abstractNumId w:val="17"/>
  </w:num>
  <w:num w:numId="17">
    <w:abstractNumId w:val="27"/>
  </w:num>
  <w:num w:numId="18">
    <w:abstractNumId w:val="41"/>
  </w:num>
  <w:num w:numId="19">
    <w:abstractNumId w:val="16"/>
  </w:num>
  <w:num w:numId="20">
    <w:abstractNumId w:val="22"/>
  </w:num>
  <w:num w:numId="21">
    <w:abstractNumId w:val="15"/>
  </w:num>
  <w:num w:numId="22">
    <w:abstractNumId w:val="10"/>
  </w:num>
  <w:num w:numId="23">
    <w:abstractNumId w:val="7"/>
  </w:num>
  <w:num w:numId="24">
    <w:abstractNumId w:val="6"/>
  </w:num>
  <w:num w:numId="25">
    <w:abstractNumId w:val="8"/>
  </w:num>
  <w:num w:numId="26">
    <w:abstractNumId w:val="23"/>
  </w:num>
  <w:num w:numId="27">
    <w:abstractNumId w:val="4"/>
  </w:num>
  <w:num w:numId="28">
    <w:abstractNumId w:val="13"/>
  </w:num>
  <w:num w:numId="29">
    <w:abstractNumId w:val="32"/>
  </w:num>
  <w:num w:numId="30">
    <w:abstractNumId w:val="30"/>
  </w:num>
  <w:num w:numId="31">
    <w:abstractNumId w:val="11"/>
  </w:num>
  <w:num w:numId="32">
    <w:abstractNumId w:val="38"/>
  </w:num>
  <w:num w:numId="33">
    <w:abstractNumId w:val="24"/>
  </w:num>
  <w:num w:numId="34">
    <w:abstractNumId w:val="14"/>
  </w:num>
  <w:num w:numId="35">
    <w:abstractNumId w:val="20"/>
  </w:num>
  <w:num w:numId="36">
    <w:abstractNumId w:val="25"/>
  </w:num>
  <w:num w:numId="37">
    <w:abstractNumId w:val="5"/>
  </w:num>
  <w:num w:numId="38">
    <w:abstractNumId w:val="31"/>
  </w:num>
  <w:num w:numId="39">
    <w:abstractNumId w:val="29"/>
  </w:num>
  <w:num w:numId="40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1535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36CC8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1985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E56B3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B5DE7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0A3D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uditor-sro.org/pc/vebinar/vebinar_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639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4966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Мария К. Чебурашкина</cp:lastModifiedBy>
  <cp:revision>6</cp:revision>
  <cp:lastPrinted>2012-08-27T08:19:00Z</cp:lastPrinted>
  <dcterms:created xsi:type="dcterms:W3CDTF">2016-07-25T12:38:00Z</dcterms:created>
  <dcterms:modified xsi:type="dcterms:W3CDTF">2016-08-16T07:51:00Z</dcterms:modified>
</cp:coreProperties>
</file>