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08C16" w14:textId="77777777" w:rsidR="00DD105B" w:rsidRDefault="00DD105B" w:rsidP="005D5FFD">
      <w:pPr>
        <w:jc w:val="center"/>
        <w:rPr>
          <w:b/>
        </w:rPr>
      </w:pPr>
    </w:p>
    <w:p w14:paraId="222B0EF2" w14:textId="77777777" w:rsidR="00DD105B" w:rsidRDefault="00DD105B" w:rsidP="005D5FFD">
      <w:pPr>
        <w:jc w:val="center"/>
        <w:rPr>
          <w:b/>
        </w:rPr>
      </w:pPr>
    </w:p>
    <w:p w14:paraId="68E9236B" w14:textId="77777777" w:rsidR="00711CDD" w:rsidRDefault="00FC5391" w:rsidP="005D5FFD">
      <w:pPr>
        <w:jc w:val="center"/>
        <w:rPr>
          <w:rFonts w:eastAsia="Calibri"/>
          <w:b/>
        </w:rPr>
      </w:pPr>
      <w:r w:rsidRPr="004D6F4F">
        <w:rPr>
          <w:b/>
        </w:rPr>
        <w:t xml:space="preserve">Методические </w:t>
      </w:r>
      <w:r w:rsidR="00AE67EF" w:rsidRPr="002B2722">
        <w:rPr>
          <w:rFonts w:eastAsia="Calibri"/>
          <w:b/>
        </w:rPr>
        <w:t xml:space="preserve">рекомендации </w:t>
      </w:r>
      <w:r w:rsidR="00D47795">
        <w:rPr>
          <w:rFonts w:eastAsia="Calibri"/>
          <w:b/>
        </w:rPr>
        <w:t xml:space="preserve">по </w:t>
      </w:r>
      <w:r w:rsidR="00AE67EF">
        <w:rPr>
          <w:rFonts w:eastAsia="Calibri"/>
          <w:b/>
        </w:rPr>
        <w:t>проведению аналитических процедур</w:t>
      </w:r>
      <w:r w:rsidRPr="004D6F4F">
        <w:rPr>
          <w:b/>
        </w:rPr>
        <w:t xml:space="preserve"> </w:t>
      </w:r>
      <w:r w:rsidR="00AE67EF" w:rsidRPr="002B2722">
        <w:rPr>
          <w:rFonts w:eastAsia="Calibri"/>
          <w:b/>
        </w:rPr>
        <w:t>в соответствии с Международными стандартами аудита</w:t>
      </w:r>
    </w:p>
    <w:p w14:paraId="5300A0FA" w14:textId="77777777" w:rsidR="003D2123" w:rsidRDefault="003D2123" w:rsidP="005D5FFD">
      <w:pPr>
        <w:jc w:val="center"/>
        <w:rPr>
          <w:rFonts w:eastAsia="Calibri"/>
          <w:b/>
        </w:rPr>
      </w:pPr>
    </w:p>
    <w:p w14:paraId="5A2C803E" w14:textId="77777777" w:rsidR="003D2123" w:rsidRDefault="003D2123" w:rsidP="003D2123">
      <w:pPr>
        <w:pStyle w:val="ListParagraph"/>
        <w:spacing w:after="0"/>
      </w:pPr>
      <w:r w:rsidRPr="00B90DD8">
        <w:t xml:space="preserve">Для целей Международных стандартов аудита термин «аналитические процедуры» означает оценку финансовой информации посредством анализа вероятных взаимосвязей между финансовыми и нефинансовыми данными. Аналитические процедуры также предусматривают исследование выявленных отклонений или соотношений, которые противоречат прочей имеющейся информации или существенно расходятся с ожидаемыми показателями (пункт 4 МСА 520 «Аналитические процедуры»). </w:t>
      </w:r>
    </w:p>
    <w:p w14:paraId="7840BA2A" w14:textId="77777777" w:rsidR="003D2123" w:rsidRDefault="003D2123" w:rsidP="005D5FFD">
      <w:pPr>
        <w:jc w:val="center"/>
        <w:rPr>
          <w:rFonts w:eastAsia="Calibri"/>
          <w:b/>
        </w:rPr>
      </w:pPr>
    </w:p>
    <w:p w14:paraId="6632CFD2" w14:textId="77777777" w:rsidR="005D5FFD" w:rsidRPr="004D6F4F" w:rsidRDefault="005D5FFD" w:rsidP="005D5FFD">
      <w:pPr>
        <w:jc w:val="center"/>
        <w:rPr>
          <w:b/>
        </w:rPr>
      </w:pPr>
    </w:p>
    <w:p w14:paraId="465BA127" w14:textId="77777777" w:rsidR="00D07F52" w:rsidRDefault="00D07F52" w:rsidP="00D07F52">
      <w:pPr>
        <w:pStyle w:val="ListParagraph"/>
        <w:spacing w:after="0"/>
      </w:pPr>
      <w:r>
        <w:t>Аналитические процедуры используются на каждом этапе аудита:</w:t>
      </w:r>
    </w:p>
    <w:p w14:paraId="4442244B" w14:textId="2711C2CD" w:rsidR="00D07F52" w:rsidRPr="00B90DD8" w:rsidRDefault="00D07F52" w:rsidP="00D07F52">
      <w:pPr>
        <w:pStyle w:val="2"/>
        <w:spacing w:after="0"/>
        <w:ind w:left="0" w:firstLine="567"/>
      </w:pPr>
      <w:r w:rsidRPr="00B90DD8">
        <w:t>в начале аудита аналитические процедуры используются в качестве процедуры оценки риска</w:t>
      </w:r>
      <w:r>
        <w:t>,</w:t>
      </w:r>
      <w:r w:rsidRPr="00516C8C">
        <w:t xml:space="preserve"> </w:t>
      </w:r>
      <w:r>
        <w:t>п</w:t>
      </w:r>
      <w:r w:rsidRPr="00516C8C">
        <w:t>оскольку они предоставляют аудитору информацию о деятельности организации</w:t>
      </w:r>
      <w:r w:rsidRPr="00B90DD8">
        <w:t xml:space="preserve"> (предварительный аналитический обзор)</w:t>
      </w:r>
      <w:r>
        <w:t xml:space="preserve"> (</w:t>
      </w:r>
      <w:r w:rsidRPr="009D40D2">
        <w:t>МСА 315</w:t>
      </w:r>
      <w:r>
        <w:t xml:space="preserve"> (пересмотренный «Выявление и оценка рисков существенного искаж</w:t>
      </w:r>
      <w:r w:rsidR="005273CA">
        <w:t>е</w:t>
      </w:r>
      <w:r>
        <w:t>ния посредством изучения организации и ее окружения»)</w:t>
      </w:r>
      <w:r w:rsidRPr="00B90DD8">
        <w:t>;</w:t>
      </w:r>
    </w:p>
    <w:p w14:paraId="387723E5" w14:textId="76E14075" w:rsidR="00D07F52" w:rsidRDefault="00D07F52" w:rsidP="00D07F52">
      <w:pPr>
        <w:pStyle w:val="2"/>
        <w:spacing w:after="0"/>
        <w:ind w:left="0" w:firstLine="567"/>
      </w:pPr>
      <w:r>
        <w:t>в ходе аудита аналитические процедуры проводятся для получения аудиторских доказательств на уровне предпосылок (</w:t>
      </w:r>
      <w:r w:rsidRPr="00B90DD8">
        <w:t>аналитические процедуры</w:t>
      </w:r>
      <w:r w:rsidRPr="00DD105B">
        <w:t xml:space="preserve"> </w:t>
      </w:r>
      <w:proofErr w:type="gramStart"/>
      <w:r>
        <w:t>проверки по</w:t>
      </w:r>
      <w:r w:rsidR="005273CA">
        <w:t xml:space="preserve"> </w:t>
      </w:r>
      <w:r>
        <w:t>существу</w:t>
      </w:r>
      <w:proofErr w:type="gramEnd"/>
      <w:r>
        <w:t>) (МСА 330 «Ауд</w:t>
      </w:r>
      <w:r w:rsidR="005273CA">
        <w:t>и</w:t>
      </w:r>
      <w:r>
        <w:t>торские процедуры в ответ на оцененные риски»);</w:t>
      </w:r>
    </w:p>
    <w:p w14:paraId="4DA8C914" w14:textId="77777777" w:rsidR="00D07F52" w:rsidRDefault="00D07F52" w:rsidP="00D07F52">
      <w:pPr>
        <w:pStyle w:val="2"/>
        <w:spacing w:after="0"/>
        <w:ind w:left="0" w:firstLine="567"/>
      </w:pPr>
      <w:r>
        <w:t>на завершающем этапе аудита аналитические процедуры проводятся для подтверждения выводов, сформированных</w:t>
      </w:r>
      <w:r w:rsidRPr="00DE4FE7">
        <w:t xml:space="preserve"> в ходе аудита отдельных компонентов или элементов финансовой отчетности</w:t>
      </w:r>
      <w:r>
        <w:t>, или выявляют ранее непризнанный риск существенного искажения (а</w:t>
      </w:r>
      <w:r w:rsidRPr="00DE4FE7">
        <w:t>налитические процедуры, способствующие формированию общего вывода</w:t>
      </w:r>
      <w:r>
        <w:t xml:space="preserve">) (МСА </w:t>
      </w:r>
      <w:r w:rsidRPr="00DD105B">
        <w:t>52</w:t>
      </w:r>
      <w:r>
        <w:t xml:space="preserve">0). </w:t>
      </w:r>
    </w:p>
    <w:p w14:paraId="5F36E9A4" w14:textId="77777777" w:rsidR="00D07F52" w:rsidRDefault="00D07F52" w:rsidP="00C7491D">
      <w:pPr>
        <w:pStyle w:val="ListParagraph"/>
        <w:numPr>
          <w:ilvl w:val="0"/>
          <w:numId w:val="0"/>
        </w:numPr>
        <w:spacing w:after="0"/>
        <w:ind w:left="720"/>
      </w:pPr>
    </w:p>
    <w:p w14:paraId="58AE2F90" w14:textId="6DB75CCC" w:rsidR="00D07F52" w:rsidRDefault="00D07F52" w:rsidP="00D07F52">
      <w:pPr>
        <w:pStyle w:val="ListParagraph"/>
        <w:spacing w:after="0"/>
      </w:pPr>
      <w:r>
        <w:t>Аналитические процедуры, используемые в качестве процедур оценки рисков, помогают выявить вопросы, которые имеют влияние на финансовую отчетность и результаты аудита, например, необычные сделки или операции, нехарактерные суммы, соотношения и тенденции.</w:t>
      </w:r>
    </w:p>
    <w:p w14:paraId="2D63923D" w14:textId="77777777" w:rsidR="00D07F52" w:rsidRDefault="00D07F52" w:rsidP="00D07F52">
      <w:pPr>
        <w:pStyle w:val="ListParagraph"/>
        <w:numPr>
          <w:ilvl w:val="0"/>
          <w:numId w:val="0"/>
        </w:numPr>
        <w:ind w:left="720"/>
      </w:pPr>
      <w:r>
        <w:t>Обнаруженные необычные или неожиданные соотношения могут помочь аудитору выявить риски существенного искажения по причине недобросовестных действий.</w:t>
      </w:r>
    </w:p>
    <w:p w14:paraId="5FEDE95A" w14:textId="77777777" w:rsidR="00D07F52" w:rsidRDefault="00D07F52" w:rsidP="00D07F52">
      <w:pPr>
        <w:pStyle w:val="ListParagraph"/>
        <w:numPr>
          <w:ilvl w:val="0"/>
          <w:numId w:val="0"/>
        </w:numPr>
        <w:spacing w:after="0"/>
        <w:ind w:left="720"/>
      </w:pPr>
    </w:p>
    <w:p w14:paraId="451E0E91" w14:textId="77777777" w:rsidR="00D07F52" w:rsidRDefault="00D07F52" w:rsidP="00D07F52">
      <w:pPr>
        <w:pStyle w:val="ListParagraph"/>
      </w:pPr>
      <w:r>
        <w:t>Аналитические процедуры, выполняемые в качестве процедур оценки рисков, могут включать как финансовую, так и нефинансовую информацию, например соотношение между объемом продаж и размерами торговых площадей или объемом проданной продукции.</w:t>
      </w:r>
    </w:p>
    <w:p w14:paraId="2D21A798" w14:textId="77777777" w:rsidR="00D07F52" w:rsidRDefault="00D07F52" w:rsidP="00D07F52">
      <w:pPr>
        <w:pStyle w:val="ListParagraph"/>
        <w:numPr>
          <w:ilvl w:val="0"/>
          <w:numId w:val="0"/>
        </w:numPr>
        <w:ind w:left="720"/>
      </w:pPr>
      <w:r>
        <w:lastRenderedPageBreak/>
        <w:t xml:space="preserve">Большинство аналитических процедур, используемых в качестве процедур оценки рисков, включает простое сопоставление данных и поэтому не очень сложны. Если аналитические процедуры используют агрегированные данные высокого уровня, их результаты могут обеспечить только предварительное представление о том, имеет ли место существенное искажение. </w:t>
      </w:r>
    </w:p>
    <w:p w14:paraId="7F2740AA" w14:textId="77777777" w:rsidR="00D07F52" w:rsidRDefault="00D07F52" w:rsidP="00D07F52">
      <w:pPr>
        <w:pStyle w:val="ListParagraph"/>
        <w:numPr>
          <w:ilvl w:val="0"/>
          <w:numId w:val="0"/>
        </w:numPr>
        <w:ind w:left="720"/>
      </w:pPr>
      <w:r>
        <w:t>В таких случаях рассмотрение прочей информации, которая была собрана при выявлении рисков существенного искажения в совокупности с результатами таких аналитических процедур, может помочь аудитору в понимании и оценке результатов этих аналитических процедур.</w:t>
      </w:r>
    </w:p>
    <w:p w14:paraId="1FE8C0C8" w14:textId="77777777" w:rsidR="00D07F52" w:rsidRDefault="00D07F52" w:rsidP="00D07F52">
      <w:pPr>
        <w:pStyle w:val="ListParagraph"/>
        <w:numPr>
          <w:ilvl w:val="0"/>
          <w:numId w:val="0"/>
        </w:numPr>
        <w:spacing w:after="0"/>
        <w:ind w:left="720"/>
      </w:pPr>
    </w:p>
    <w:p w14:paraId="3F38786C" w14:textId="77777777" w:rsidR="003D2123" w:rsidRDefault="00D07F52" w:rsidP="00D07F52">
      <w:pPr>
        <w:pStyle w:val="ListParagraph"/>
        <w:spacing w:after="0"/>
      </w:pPr>
      <w:r w:rsidRPr="00B90DD8">
        <w:t>Аналитические процедуры</w:t>
      </w:r>
      <w:r>
        <w:t>, используемые</w:t>
      </w:r>
      <w:r w:rsidRPr="00B90DD8">
        <w:t xml:space="preserve"> в качестве процедуры оценки риска</w:t>
      </w:r>
      <w:r>
        <w:t>, обычно основываются на промежуточной финансовой отчетности или предварительном проекте финансовой отчетности организации.</w:t>
      </w:r>
    </w:p>
    <w:p w14:paraId="747090D0" w14:textId="77777777" w:rsidR="00D07F52" w:rsidRDefault="00D07F52" w:rsidP="00C7491D">
      <w:pPr>
        <w:pStyle w:val="ListParagraph"/>
        <w:numPr>
          <w:ilvl w:val="0"/>
          <w:numId w:val="0"/>
        </w:numPr>
        <w:spacing w:after="0"/>
        <w:ind w:left="720"/>
      </w:pPr>
      <w:r>
        <w:t xml:space="preserve"> Некоторые малые организации не составляют промежуточную финансовую отчетность, и информация для проведения предварительного аналитического обзора может быть получена путем запроса проекта годовой финансовой отчетности.</w:t>
      </w:r>
    </w:p>
    <w:p w14:paraId="1D7063A4" w14:textId="77777777" w:rsidR="003D2123" w:rsidRDefault="003D2123" w:rsidP="00C7491D">
      <w:pPr>
        <w:pStyle w:val="ListParagraph"/>
        <w:numPr>
          <w:ilvl w:val="0"/>
          <w:numId w:val="0"/>
        </w:numPr>
        <w:spacing w:after="0"/>
        <w:ind w:left="720"/>
      </w:pPr>
    </w:p>
    <w:p w14:paraId="7BAB4997" w14:textId="77777777" w:rsidR="003D2123" w:rsidRDefault="003D2123" w:rsidP="00C7491D">
      <w:pPr>
        <w:pStyle w:val="ListParagraph"/>
        <w:spacing w:after="0"/>
      </w:pPr>
      <w:r w:rsidRPr="00B90DD8">
        <w:t xml:space="preserve">МСА 520 рассматривает необходимость проведения </w:t>
      </w:r>
      <w:r>
        <w:t>аналитических</w:t>
      </w:r>
      <w:r w:rsidRPr="00B90DD8">
        <w:t xml:space="preserve"> процедур в качестве процедур проверки по существу и </w:t>
      </w:r>
      <w:r>
        <w:t xml:space="preserve">обязывает проводить аналитические процедуры </w:t>
      </w:r>
      <w:r w:rsidRPr="00B90DD8">
        <w:t>ближе к окончанию аудита</w:t>
      </w:r>
      <w:r>
        <w:t>.</w:t>
      </w:r>
      <w:r w:rsidRPr="00493874">
        <w:t xml:space="preserve"> </w:t>
      </w:r>
    </w:p>
    <w:p w14:paraId="75331CD7" w14:textId="77777777" w:rsidR="003D2123" w:rsidRDefault="003D2123" w:rsidP="00C7491D">
      <w:pPr>
        <w:pStyle w:val="ListParagraph"/>
        <w:numPr>
          <w:ilvl w:val="0"/>
          <w:numId w:val="0"/>
        </w:numPr>
        <w:spacing w:after="0"/>
        <w:ind w:left="720"/>
      </w:pPr>
      <w:r>
        <w:t xml:space="preserve">В целом аналитические процедуры </w:t>
      </w:r>
      <w:proofErr w:type="gramStart"/>
      <w:r>
        <w:t>проверки по существу</w:t>
      </w:r>
      <w:proofErr w:type="gramEnd"/>
      <w:r>
        <w:t xml:space="preserve"> чаще всего проводятся применительно к большим объемам операций, поддающихся перспективному прогнозированию.</w:t>
      </w:r>
    </w:p>
    <w:p w14:paraId="44E64F07" w14:textId="77777777" w:rsidR="00D07F52" w:rsidRDefault="00D07F52" w:rsidP="00C7491D"/>
    <w:p w14:paraId="5272A12C" w14:textId="77777777" w:rsidR="001D5CE2" w:rsidRDefault="001D5CE2" w:rsidP="001D5CE2">
      <w:pPr>
        <w:autoSpaceDE w:val="0"/>
        <w:autoSpaceDN w:val="0"/>
        <w:adjustRightInd w:val="0"/>
      </w:pPr>
      <w:r>
        <w:t>Аналитические процедуры предполагают сопоставление финансовой информации организации</w:t>
      </w:r>
      <w:r w:rsidR="00D07F52">
        <w:t xml:space="preserve"> (А1 МСА 520)</w:t>
      </w:r>
      <w:r>
        <w:t>:</w:t>
      </w:r>
    </w:p>
    <w:p w14:paraId="129E08D4" w14:textId="77777777" w:rsidR="001D5CE2" w:rsidRDefault="001D5CE2" w:rsidP="001D5CE2">
      <w:pPr>
        <w:autoSpaceDE w:val="0"/>
        <w:autoSpaceDN w:val="0"/>
        <w:adjustRightInd w:val="0"/>
        <w:spacing w:before="280"/>
        <w:ind w:firstLine="540"/>
      </w:pPr>
      <w:r>
        <w:t>- со сравнительной информацией за предыдущие периоды;</w:t>
      </w:r>
    </w:p>
    <w:p w14:paraId="53C55972" w14:textId="77777777" w:rsidR="001D5CE2" w:rsidRDefault="001D5CE2" w:rsidP="001D5CE2">
      <w:pPr>
        <w:autoSpaceDE w:val="0"/>
        <w:autoSpaceDN w:val="0"/>
        <w:adjustRightInd w:val="0"/>
        <w:spacing w:before="280"/>
        <w:ind w:firstLine="540"/>
      </w:pPr>
      <w:r>
        <w:t>- с ожидаемыми результатами деятельности организации, например бюджетами или прогнозами, или с ожиданиями аудитора, например, относительно амортизации;</w:t>
      </w:r>
    </w:p>
    <w:p w14:paraId="55055F9A" w14:textId="77777777" w:rsidR="001D5CE2" w:rsidRDefault="001D5CE2" w:rsidP="001D5CE2">
      <w:pPr>
        <w:autoSpaceDE w:val="0"/>
        <w:autoSpaceDN w:val="0"/>
        <w:adjustRightInd w:val="0"/>
        <w:spacing w:before="280"/>
        <w:ind w:firstLine="540"/>
      </w:pPr>
      <w:r>
        <w:t>- с аналогичной отраслевой информацией, например, сопоставление коэффициента продаж к дебиторской задолженности организации с усредненными отраслевыми показателями или показателями других аналогичных по размерам организаций в той же отрасли.</w:t>
      </w:r>
    </w:p>
    <w:p w14:paraId="4A317415" w14:textId="77777777" w:rsidR="001D5CE2" w:rsidRDefault="001D5CE2" w:rsidP="00C7491D">
      <w:pPr>
        <w:autoSpaceDE w:val="0"/>
        <w:autoSpaceDN w:val="0"/>
        <w:adjustRightInd w:val="0"/>
        <w:spacing w:before="280"/>
      </w:pPr>
      <w:r>
        <w:lastRenderedPageBreak/>
        <w:t>Аналитические процедуры также предусматривают изучение, среди прочего, следующих соотношений:</w:t>
      </w:r>
    </w:p>
    <w:p w14:paraId="663F1B00" w14:textId="77777777" w:rsidR="001D5CE2" w:rsidRDefault="001D5CE2" w:rsidP="001D5CE2">
      <w:pPr>
        <w:autoSpaceDE w:val="0"/>
        <w:autoSpaceDN w:val="0"/>
        <w:adjustRightInd w:val="0"/>
        <w:spacing w:before="280"/>
        <w:ind w:firstLine="540"/>
      </w:pPr>
      <w:r>
        <w:t>- между элементами финансовой информации, которые, как ожидается, будут соответствовать прогнозируемой структуре на основе опыта деятельности организации, например процентные показатели валовой прибыли;</w:t>
      </w:r>
    </w:p>
    <w:p w14:paraId="1DFBB2E2" w14:textId="77777777" w:rsidR="001D5CE2" w:rsidRDefault="001D5CE2" w:rsidP="001D5CE2">
      <w:pPr>
        <w:autoSpaceDE w:val="0"/>
        <w:autoSpaceDN w:val="0"/>
        <w:adjustRightInd w:val="0"/>
        <w:spacing w:before="280"/>
        <w:ind w:firstLine="540"/>
      </w:pPr>
      <w:r>
        <w:t>- между финансовой информацией и соответствующей нефинансовой информацией, например, соотношение расходов по оплате труда и количества сотрудников.</w:t>
      </w:r>
    </w:p>
    <w:p w14:paraId="5C0A4072" w14:textId="77777777" w:rsidR="001D5CE2" w:rsidRDefault="001D5CE2" w:rsidP="001D5CE2">
      <w:pPr>
        <w:pStyle w:val="ListParagraph"/>
        <w:numPr>
          <w:ilvl w:val="0"/>
          <w:numId w:val="0"/>
        </w:numPr>
        <w:spacing w:after="0"/>
        <w:ind w:left="360"/>
      </w:pPr>
    </w:p>
    <w:p w14:paraId="10574609" w14:textId="25E60834" w:rsidR="00D07F52" w:rsidRDefault="00D07F52" w:rsidP="00493874">
      <w:pPr>
        <w:autoSpaceDE w:val="0"/>
        <w:autoSpaceDN w:val="0"/>
        <w:adjustRightInd w:val="0"/>
      </w:pPr>
    </w:p>
    <w:p w14:paraId="7F267AF7" w14:textId="77777777" w:rsidR="008F052A" w:rsidRDefault="008F052A" w:rsidP="008F052A">
      <w:pPr>
        <w:pStyle w:val="ListParagraph"/>
        <w:spacing w:after="0"/>
      </w:pPr>
      <w:r>
        <w:t xml:space="preserve">Аналитические процедуры </w:t>
      </w:r>
      <w:proofErr w:type="gramStart"/>
      <w:r>
        <w:t>проверки по существу</w:t>
      </w:r>
      <w:proofErr w:type="gramEnd"/>
      <w:r>
        <w:t xml:space="preserve"> должны включать:</w:t>
      </w:r>
    </w:p>
    <w:p w14:paraId="024862AD" w14:textId="77777777" w:rsidR="008F052A" w:rsidRDefault="008F052A" w:rsidP="008F052A">
      <w:pPr>
        <w:pStyle w:val="2"/>
        <w:numPr>
          <w:ilvl w:val="2"/>
          <w:numId w:val="4"/>
        </w:numPr>
        <w:spacing w:after="0"/>
        <w:ind w:left="993"/>
      </w:pPr>
      <w:r>
        <w:t>оценку</w:t>
      </w:r>
      <w:r w:rsidRPr="00D77949">
        <w:t xml:space="preserve"> целесообразности </w:t>
      </w:r>
      <w:r>
        <w:t xml:space="preserve">получения доказательств с помощью </w:t>
      </w:r>
      <w:r w:rsidRPr="00D77949">
        <w:t xml:space="preserve">аналитических процедур </w:t>
      </w:r>
      <w:proofErr w:type="gramStart"/>
      <w:r w:rsidRPr="00D77949">
        <w:t>проверки по существу</w:t>
      </w:r>
      <w:proofErr w:type="gramEnd"/>
      <w:r w:rsidRPr="00D77949">
        <w:t xml:space="preserve"> для определенных предпосылок</w:t>
      </w:r>
      <w:r>
        <w:t>;</w:t>
      </w:r>
    </w:p>
    <w:p w14:paraId="2DFE2D96" w14:textId="77777777" w:rsidR="008F052A" w:rsidRDefault="008F052A" w:rsidP="008F052A">
      <w:pPr>
        <w:pStyle w:val="2"/>
        <w:numPr>
          <w:ilvl w:val="2"/>
          <w:numId w:val="4"/>
        </w:numPr>
        <w:spacing w:after="0"/>
        <w:ind w:left="993"/>
      </w:pPr>
      <w:r>
        <w:t>оценку</w:t>
      </w:r>
      <w:r w:rsidRPr="00D77949">
        <w:t xml:space="preserve"> надежности исходных данных</w:t>
      </w:r>
      <w:r>
        <w:t>,</w:t>
      </w:r>
      <w:r w:rsidRPr="00D77949">
        <w:t xml:space="preserve"> на которых основано ожидание аудитора</w:t>
      </w:r>
      <w:r>
        <w:t>;</w:t>
      </w:r>
    </w:p>
    <w:p w14:paraId="0B27A9D1" w14:textId="77777777" w:rsidR="008F052A" w:rsidRDefault="008F052A" w:rsidP="008F052A">
      <w:pPr>
        <w:pStyle w:val="2"/>
        <w:numPr>
          <w:ilvl w:val="2"/>
          <w:numId w:val="4"/>
        </w:numPr>
        <w:spacing w:after="0"/>
        <w:ind w:left="993"/>
      </w:pPr>
      <w:r w:rsidRPr="00D77949">
        <w:t>формирование независимых ожиданий результатов</w:t>
      </w:r>
      <w:r>
        <w:t xml:space="preserve"> (по оценке аудитора);</w:t>
      </w:r>
    </w:p>
    <w:p w14:paraId="0BAA64A3" w14:textId="77777777" w:rsidR="008F052A" w:rsidRDefault="008F052A" w:rsidP="008F052A">
      <w:pPr>
        <w:pStyle w:val="2"/>
        <w:numPr>
          <w:ilvl w:val="2"/>
          <w:numId w:val="4"/>
        </w:numPr>
        <w:spacing w:after="0"/>
        <w:ind w:left="993"/>
      </w:pPr>
      <w:r w:rsidRPr="00D77949">
        <w:t xml:space="preserve">определение допустимого уровня отклонения </w:t>
      </w:r>
      <w:proofErr w:type="gramStart"/>
      <w:r w:rsidRPr="00D77949">
        <w:t>фактических</w:t>
      </w:r>
      <w:r>
        <w:t xml:space="preserve">  </w:t>
      </w:r>
      <w:r w:rsidRPr="00D77949">
        <w:t>значений</w:t>
      </w:r>
      <w:proofErr w:type="gramEnd"/>
      <w:r w:rsidRPr="00D77949">
        <w:t xml:space="preserve"> от ожидаемых</w:t>
      </w:r>
      <w:r>
        <w:t xml:space="preserve"> (п</w:t>
      </w:r>
      <w:r w:rsidRPr="006D5E70">
        <w:t>риемлемое расхождение между суммами, отраженными в учете, и ожидаемыми показателями</w:t>
      </w:r>
      <w:r>
        <w:t>);</w:t>
      </w:r>
    </w:p>
    <w:p w14:paraId="22E36D0D" w14:textId="77777777" w:rsidR="008F052A" w:rsidRDefault="008F052A" w:rsidP="008F052A">
      <w:pPr>
        <w:pStyle w:val="2"/>
        <w:numPr>
          <w:ilvl w:val="2"/>
          <w:numId w:val="4"/>
        </w:numPr>
        <w:spacing w:after="0"/>
        <w:ind w:left="993"/>
      </w:pPr>
      <w:r w:rsidRPr="00D77949">
        <w:t>расчет разницы между фактическими и ожидаемыми значениями</w:t>
      </w:r>
      <w:r>
        <w:t>;</w:t>
      </w:r>
    </w:p>
    <w:p w14:paraId="09DB492B" w14:textId="77777777" w:rsidR="008F052A" w:rsidRDefault="008F052A" w:rsidP="008F052A">
      <w:pPr>
        <w:pStyle w:val="2"/>
        <w:numPr>
          <w:ilvl w:val="2"/>
          <w:numId w:val="4"/>
        </w:numPr>
        <w:spacing w:after="0"/>
        <w:ind w:left="993"/>
      </w:pPr>
      <w:r w:rsidRPr="00D77949">
        <w:t>объяснение разницы между фактическими и ожидаемыми значениями</w:t>
      </w:r>
      <w:r>
        <w:t xml:space="preserve"> выше допустимого уровня приемлемого расхождения;</w:t>
      </w:r>
    </w:p>
    <w:p w14:paraId="3C92A800" w14:textId="77777777" w:rsidR="008F052A" w:rsidRDefault="008F052A" w:rsidP="008F052A">
      <w:pPr>
        <w:pStyle w:val="2"/>
        <w:numPr>
          <w:ilvl w:val="2"/>
          <w:numId w:val="4"/>
        </w:numPr>
        <w:spacing w:after="0"/>
        <w:ind w:left="993"/>
      </w:pPr>
      <w:r>
        <w:t xml:space="preserve">в случае противоречивости результатов </w:t>
      </w:r>
      <w:r w:rsidRPr="006D5E70">
        <w:t xml:space="preserve">аналитических процедур </w:t>
      </w:r>
      <w:r>
        <w:t>и</w:t>
      </w:r>
      <w:r w:rsidRPr="006D5E70">
        <w:t xml:space="preserve">меющейся информации или </w:t>
      </w:r>
      <w:r>
        <w:t>расхождения выше допустимого уровня:</w:t>
      </w:r>
    </w:p>
    <w:p w14:paraId="6143D660" w14:textId="77777777" w:rsidR="008F052A" w:rsidRDefault="008F052A" w:rsidP="008F052A">
      <w:pPr>
        <w:pStyle w:val="2"/>
        <w:numPr>
          <w:ilvl w:val="3"/>
          <w:numId w:val="4"/>
        </w:numPr>
        <w:spacing w:after="0"/>
        <w:ind w:left="993" w:firstLine="0"/>
      </w:pPr>
      <w:r w:rsidRPr="006D5E70">
        <w:t>н</w:t>
      </w:r>
      <w:r>
        <w:t>аправление руководству запросов и оценка соответствующих ответов руководства;</w:t>
      </w:r>
    </w:p>
    <w:p w14:paraId="0283FA91" w14:textId="77777777" w:rsidR="008F052A" w:rsidRDefault="008F052A" w:rsidP="008F052A">
      <w:pPr>
        <w:pStyle w:val="2"/>
        <w:numPr>
          <w:ilvl w:val="3"/>
          <w:numId w:val="4"/>
        </w:numPr>
        <w:spacing w:after="0"/>
        <w:ind w:left="993" w:firstLine="0"/>
      </w:pPr>
      <w:r w:rsidRPr="006D5E70">
        <w:t xml:space="preserve">проведение </w:t>
      </w:r>
      <w:r>
        <w:t>других</w:t>
      </w:r>
      <w:r w:rsidRPr="006D5E70">
        <w:t xml:space="preserve"> аудиторских процедур</w:t>
      </w:r>
      <w:r>
        <w:t>;</w:t>
      </w:r>
    </w:p>
    <w:p w14:paraId="1C30506A" w14:textId="77777777" w:rsidR="008F052A" w:rsidRDefault="008F052A" w:rsidP="008F052A">
      <w:pPr>
        <w:pStyle w:val="2"/>
        <w:numPr>
          <w:ilvl w:val="2"/>
          <w:numId w:val="4"/>
        </w:numPr>
        <w:spacing w:after="0"/>
        <w:ind w:left="993"/>
      </w:pPr>
      <w:r w:rsidRPr="00D77949">
        <w:t xml:space="preserve">вывод по результатам </w:t>
      </w:r>
      <w:r w:rsidRPr="006D5E70">
        <w:t>проведения аналитических процедур</w:t>
      </w:r>
      <w:r>
        <w:t>.</w:t>
      </w:r>
    </w:p>
    <w:p w14:paraId="0489ADC8" w14:textId="77777777" w:rsidR="008F052A" w:rsidRDefault="008F052A" w:rsidP="00493874">
      <w:pPr>
        <w:autoSpaceDE w:val="0"/>
        <w:autoSpaceDN w:val="0"/>
        <w:adjustRightInd w:val="0"/>
      </w:pPr>
    </w:p>
    <w:p w14:paraId="39D8E20F" w14:textId="3253E09C" w:rsidR="00AE67EF" w:rsidRDefault="00AE67EF" w:rsidP="00C7491D"/>
    <w:p w14:paraId="598CDE7A" w14:textId="3B87BB62" w:rsidR="00357A79" w:rsidRDefault="00FE76F9" w:rsidP="005D5FFD">
      <w:pPr>
        <w:pStyle w:val="ListParagraph"/>
        <w:spacing w:after="0"/>
      </w:pPr>
      <w:r>
        <w:t xml:space="preserve">МСА 520 приводит </w:t>
      </w:r>
      <w:r w:rsidR="00357A79">
        <w:t>следующие</w:t>
      </w:r>
      <w:r>
        <w:t xml:space="preserve"> пример</w:t>
      </w:r>
      <w:r w:rsidR="00357A79">
        <w:t>ы</w:t>
      </w:r>
      <w:r>
        <w:t xml:space="preserve"> несложн</w:t>
      </w:r>
      <w:r w:rsidR="00357A79">
        <w:t>ых</w:t>
      </w:r>
      <w:r>
        <w:t xml:space="preserve"> прогнозн</w:t>
      </w:r>
      <w:r w:rsidR="00357A79">
        <w:t>ых</w:t>
      </w:r>
      <w:r>
        <w:t xml:space="preserve"> модел</w:t>
      </w:r>
      <w:r w:rsidR="00357A79">
        <w:t>ей, которые могут быть использованы</w:t>
      </w:r>
      <w:r>
        <w:t xml:space="preserve"> </w:t>
      </w:r>
      <w:r w:rsidR="00357A79">
        <w:t>в качестве аналитических</w:t>
      </w:r>
      <w:r>
        <w:t xml:space="preserve"> </w:t>
      </w:r>
      <w:r w:rsidR="00357A79">
        <w:t>процедур</w:t>
      </w:r>
      <w:r>
        <w:t xml:space="preserve"> </w:t>
      </w:r>
      <w:proofErr w:type="gramStart"/>
      <w:r>
        <w:t>проверки по</w:t>
      </w:r>
      <w:r w:rsidR="00245EDF">
        <w:t xml:space="preserve"> </w:t>
      </w:r>
      <w:bookmarkStart w:id="0" w:name="_GoBack"/>
      <w:bookmarkEnd w:id="0"/>
      <w:r>
        <w:t>существу</w:t>
      </w:r>
      <w:proofErr w:type="gramEnd"/>
      <w:r w:rsidR="00357A79">
        <w:t xml:space="preserve"> и предоставить </w:t>
      </w:r>
      <w:r w:rsidR="00357A79" w:rsidRPr="00FE76F9">
        <w:t>аудиторские доказательства</w:t>
      </w:r>
      <w:r w:rsidRPr="00FE76F9">
        <w:t xml:space="preserve">. </w:t>
      </w:r>
    </w:p>
    <w:p w14:paraId="0C3FC8C3" w14:textId="77777777" w:rsidR="00357A79" w:rsidRDefault="00357A79" w:rsidP="006345BE">
      <w:pPr>
        <w:pStyle w:val="2"/>
        <w:tabs>
          <w:tab w:val="clear" w:pos="1134"/>
          <w:tab w:val="left" w:pos="284"/>
          <w:tab w:val="left" w:pos="851"/>
        </w:tabs>
        <w:spacing w:after="0"/>
        <w:ind w:left="0" w:firstLine="426"/>
      </w:pPr>
      <w:r>
        <w:t>Е</w:t>
      </w:r>
      <w:r w:rsidR="00FE76F9" w:rsidRPr="00FE76F9">
        <w:t xml:space="preserve">сли в организации работает известное количество сотрудников с фиксированными ставками оплаты труда в течение периода, то с высокой степенью точности </w:t>
      </w:r>
      <w:r>
        <w:t>можно оценить совокупные расходы</w:t>
      </w:r>
      <w:r w:rsidR="00FE76F9" w:rsidRPr="00FE76F9">
        <w:t xml:space="preserve"> по заработной плате за данный период</w:t>
      </w:r>
      <w:r w:rsidR="00214F9F">
        <w:t>;</w:t>
      </w:r>
    </w:p>
    <w:p w14:paraId="06059D89" w14:textId="26610DD4" w:rsidR="00F41957" w:rsidRDefault="00357A79" w:rsidP="006345BE">
      <w:pPr>
        <w:pStyle w:val="2"/>
        <w:tabs>
          <w:tab w:val="clear" w:pos="1134"/>
          <w:tab w:val="left" w:pos="284"/>
          <w:tab w:val="left" w:pos="851"/>
        </w:tabs>
        <w:spacing w:after="0"/>
        <w:ind w:left="0" w:firstLine="426"/>
      </w:pPr>
      <w:r>
        <w:lastRenderedPageBreak/>
        <w:t xml:space="preserve">Использование </w:t>
      </w:r>
      <w:r w:rsidRPr="00FE76F9">
        <w:t xml:space="preserve">показателя рентабельности по различным видам розничных организаций </w:t>
      </w:r>
      <w:r>
        <w:t xml:space="preserve">для обоснованности сумм </w:t>
      </w:r>
      <w:r w:rsidR="00FE76F9" w:rsidRPr="00FE76F9">
        <w:t>торговых операций, отраженных в учете</w:t>
      </w:r>
      <w:r>
        <w:t>.</w:t>
      </w:r>
    </w:p>
    <w:p w14:paraId="745C5202" w14:textId="5CF2C010" w:rsidR="00663DA7" w:rsidRDefault="00663DA7" w:rsidP="00C7491D">
      <w:pPr>
        <w:pStyle w:val="2"/>
        <w:numPr>
          <w:ilvl w:val="0"/>
          <w:numId w:val="0"/>
        </w:numPr>
        <w:tabs>
          <w:tab w:val="clear" w:pos="1134"/>
          <w:tab w:val="left" w:pos="284"/>
          <w:tab w:val="left" w:pos="851"/>
        </w:tabs>
        <w:spacing w:after="0"/>
        <w:ind w:left="1440" w:hanging="360"/>
      </w:pPr>
    </w:p>
    <w:p w14:paraId="4A40F3C3" w14:textId="3AE7463F" w:rsidR="00D81578" w:rsidRPr="00886066" w:rsidRDefault="00886066" w:rsidP="00D81578">
      <w:pPr>
        <w:pStyle w:val="2"/>
        <w:numPr>
          <w:ilvl w:val="0"/>
          <w:numId w:val="0"/>
        </w:numPr>
        <w:tabs>
          <w:tab w:val="clear" w:pos="1134"/>
        </w:tabs>
        <w:spacing w:after="0"/>
        <w:rPr>
          <w:sz w:val="24"/>
          <w:szCs w:val="24"/>
        </w:rPr>
      </w:pPr>
      <w:r>
        <w:t xml:space="preserve">Настоящий </w:t>
      </w:r>
      <w:r w:rsidR="005273CA">
        <w:t>документ</w:t>
      </w:r>
      <w:r>
        <w:t xml:space="preserve"> подготовлен Комитетом по стандартизации и методологии аудиторской деятельности СРО ААС и имеет рекомендательный характер. Ответственность за применение шаблона лежит на аудиторской организации (аудиторе), члене СРО ААС. Член СРО ААС вправе применять иные документ</w:t>
      </w:r>
      <w:r w:rsidR="005273CA">
        <w:t>ы</w:t>
      </w:r>
      <w:r>
        <w:t>, соответствующи</w:t>
      </w:r>
      <w:r w:rsidR="005273CA">
        <w:t>е</w:t>
      </w:r>
      <w:r>
        <w:t xml:space="preserve"> требованиям законодательства Российской Федерации об аудиторской деятельности. Позиция Комитета СРО ААС не может рассматриваться как официальное толкование требований нормативных правовых актов, заменяющее собственное профессиональное суждение аудитора.</w:t>
      </w:r>
    </w:p>
    <w:sectPr w:rsidR="00D81578" w:rsidRPr="00886066" w:rsidSect="00D1187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6A365" w14:textId="77777777" w:rsidR="001210CA" w:rsidRDefault="001210CA" w:rsidP="005C5E90">
      <w:r>
        <w:separator/>
      </w:r>
    </w:p>
    <w:p w14:paraId="6F073062" w14:textId="77777777" w:rsidR="001210CA" w:rsidRDefault="001210CA"/>
  </w:endnote>
  <w:endnote w:type="continuationSeparator" w:id="0">
    <w:p w14:paraId="56720B3F" w14:textId="77777777" w:rsidR="001210CA" w:rsidRDefault="001210CA" w:rsidP="005C5E90">
      <w:r>
        <w:continuationSeparator/>
      </w:r>
    </w:p>
    <w:p w14:paraId="702654BD" w14:textId="77777777" w:rsidR="001210CA" w:rsidRDefault="00121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684199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14:paraId="42F28909" w14:textId="77777777" w:rsidR="00660F8A" w:rsidRPr="00F90257" w:rsidRDefault="00660F8A">
        <w:pPr>
          <w:pStyle w:val="Footer"/>
          <w:jc w:val="right"/>
          <w:rPr>
            <w:rFonts w:asciiTheme="minorHAnsi" w:hAnsiTheme="minorHAnsi"/>
            <w:sz w:val="22"/>
          </w:rPr>
        </w:pPr>
        <w:r w:rsidRPr="00F90257">
          <w:rPr>
            <w:rFonts w:asciiTheme="minorHAnsi" w:hAnsiTheme="minorHAnsi"/>
            <w:sz w:val="22"/>
          </w:rPr>
          <w:fldChar w:fldCharType="begin"/>
        </w:r>
        <w:r w:rsidRPr="00F90257">
          <w:rPr>
            <w:rFonts w:asciiTheme="minorHAnsi" w:hAnsiTheme="minorHAnsi"/>
            <w:sz w:val="22"/>
          </w:rPr>
          <w:instrText>PAGE   \* MERGEFORMAT</w:instrText>
        </w:r>
        <w:r w:rsidRPr="00F90257">
          <w:rPr>
            <w:rFonts w:asciiTheme="minorHAnsi" w:hAnsiTheme="minorHAnsi"/>
            <w:sz w:val="22"/>
          </w:rPr>
          <w:fldChar w:fldCharType="separate"/>
        </w:r>
        <w:r w:rsidR="003D2123">
          <w:rPr>
            <w:rFonts w:asciiTheme="minorHAnsi" w:hAnsiTheme="minorHAnsi"/>
            <w:noProof/>
            <w:sz w:val="22"/>
          </w:rPr>
          <w:t>3</w:t>
        </w:r>
        <w:r w:rsidRPr="00F90257">
          <w:rPr>
            <w:rFonts w:asciiTheme="minorHAnsi" w:hAnsiTheme="minorHAnsi"/>
            <w:sz w:val="22"/>
          </w:rPr>
          <w:fldChar w:fldCharType="end"/>
        </w:r>
      </w:p>
    </w:sdtContent>
  </w:sdt>
  <w:p w14:paraId="6D7FEF6A" w14:textId="77777777" w:rsidR="00660F8A" w:rsidRDefault="00660F8A" w:rsidP="005C5E90">
    <w:pPr>
      <w:pStyle w:val="Footer"/>
    </w:pPr>
  </w:p>
  <w:p w14:paraId="6010AAD8" w14:textId="77777777" w:rsidR="00F32D3E" w:rsidRDefault="00F32D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7423E" w14:textId="77777777" w:rsidR="001210CA" w:rsidRDefault="001210CA" w:rsidP="005C5E90">
      <w:r>
        <w:separator/>
      </w:r>
    </w:p>
    <w:p w14:paraId="7B453882" w14:textId="77777777" w:rsidR="001210CA" w:rsidRDefault="001210CA"/>
  </w:footnote>
  <w:footnote w:type="continuationSeparator" w:id="0">
    <w:p w14:paraId="74E568CF" w14:textId="77777777" w:rsidR="001210CA" w:rsidRDefault="001210CA" w:rsidP="005C5E90">
      <w:r>
        <w:continuationSeparator/>
      </w:r>
    </w:p>
    <w:p w14:paraId="1FF2B20E" w14:textId="77777777" w:rsidR="001210CA" w:rsidRDefault="001210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693"/>
    <w:multiLevelType w:val="hybridMultilevel"/>
    <w:tmpl w:val="1E62F182"/>
    <w:lvl w:ilvl="0" w:tplc="FBCED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FCEE28">
      <w:numFmt w:val="bullet"/>
      <w:pStyle w:val="2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94A19"/>
    <w:multiLevelType w:val="multilevel"/>
    <w:tmpl w:val="CE760F9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776" w:hanging="696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06D0B"/>
    <w:multiLevelType w:val="hybridMultilevel"/>
    <w:tmpl w:val="4A121B4E"/>
    <w:lvl w:ilvl="0" w:tplc="FBCED40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936CE"/>
    <w:multiLevelType w:val="hybridMultilevel"/>
    <w:tmpl w:val="84CE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DD"/>
    <w:rsid w:val="00015C31"/>
    <w:rsid w:val="00086E22"/>
    <w:rsid w:val="00086F7C"/>
    <w:rsid w:val="000A373B"/>
    <w:rsid w:val="000C049F"/>
    <w:rsid w:val="000C3F1D"/>
    <w:rsid w:val="000E0AB9"/>
    <w:rsid w:val="000E72F8"/>
    <w:rsid w:val="00106B49"/>
    <w:rsid w:val="001120A5"/>
    <w:rsid w:val="00112245"/>
    <w:rsid w:val="001210CA"/>
    <w:rsid w:val="00152DF7"/>
    <w:rsid w:val="0017040F"/>
    <w:rsid w:val="001D4ADA"/>
    <w:rsid w:val="001D5CE2"/>
    <w:rsid w:val="00214F9F"/>
    <w:rsid w:val="00217B7F"/>
    <w:rsid w:val="002268A8"/>
    <w:rsid w:val="0022706B"/>
    <w:rsid w:val="00242770"/>
    <w:rsid w:val="00242A18"/>
    <w:rsid w:val="00245EDF"/>
    <w:rsid w:val="00281CE2"/>
    <w:rsid w:val="00283A99"/>
    <w:rsid w:val="002B0C8E"/>
    <w:rsid w:val="002E473B"/>
    <w:rsid w:val="002F2E94"/>
    <w:rsid w:val="00306790"/>
    <w:rsid w:val="00307AA0"/>
    <w:rsid w:val="00331650"/>
    <w:rsid w:val="00334FCC"/>
    <w:rsid w:val="00357A79"/>
    <w:rsid w:val="00380283"/>
    <w:rsid w:val="003805B0"/>
    <w:rsid w:val="00380D37"/>
    <w:rsid w:val="00383461"/>
    <w:rsid w:val="003A2F02"/>
    <w:rsid w:val="003A4EF0"/>
    <w:rsid w:val="003A7BC9"/>
    <w:rsid w:val="003C5E13"/>
    <w:rsid w:val="003D2123"/>
    <w:rsid w:val="003D7A09"/>
    <w:rsid w:val="003E2B31"/>
    <w:rsid w:val="004013B5"/>
    <w:rsid w:val="00402197"/>
    <w:rsid w:val="004039F9"/>
    <w:rsid w:val="0041576E"/>
    <w:rsid w:val="004261FC"/>
    <w:rsid w:val="0043798E"/>
    <w:rsid w:val="00446D86"/>
    <w:rsid w:val="00470902"/>
    <w:rsid w:val="0047343B"/>
    <w:rsid w:val="00476F4F"/>
    <w:rsid w:val="0048226C"/>
    <w:rsid w:val="00493874"/>
    <w:rsid w:val="004A56DE"/>
    <w:rsid w:val="004A66B3"/>
    <w:rsid w:val="004D114C"/>
    <w:rsid w:val="004D6F4F"/>
    <w:rsid w:val="00516C8C"/>
    <w:rsid w:val="005273CA"/>
    <w:rsid w:val="005373D7"/>
    <w:rsid w:val="005866E8"/>
    <w:rsid w:val="00587333"/>
    <w:rsid w:val="00595D2D"/>
    <w:rsid w:val="005A0CD0"/>
    <w:rsid w:val="005C5E90"/>
    <w:rsid w:val="005D5FFD"/>
    <w:rsid w:val="006023B9"/>
    <w:rsid w:val="00611F8A"/>
    <w:rsid w:val="006170F2"/>
    <w:rsid w:val="006345BE"/>
    <w:rsid w:val="00636FEA"/>
    <w:rsid w:val="00637BFF"/>
    <w:rsid w:val="00640E11"/>
    <w:rsid w:val="00641C36"/>
    <w:rsid w:val="006562D4"/>
    <w:rsid w:val="00660F8A"/>
    <w:rsid w:val="00663DA7"/>
    <w:rsid w:val="00670111"/>
    <w:rsid w:val="0067426A"/>
    <w:rsid w:val="00681FED"/>
    <w:rsid w:val="00683944"/>
    <w:rsid w:val="006C666F"/>
    <w:rsid w:val="006D5E70"/>
    <w:rsid w:val="006E0C11"/>
    <w:rsid w:val="006F4ED4"/>
    <w:rsid w:val="0070444B"/>
    <w:rsid w:val="00711CDD"/>
    <w:rsid w:val="00734874"/>
    <w:rsid w:val="007D1D7D"/>
    <w:rsid w:val="007E3CFE"/>
    <w:rsid w:val="007F05EE"/>
    <w:rsid w:val="007F44A5"/>
    <w:rsid w:val="00807E00"/>
    <w:rsid w:val="008117F6"/>
    <w:rsid w:val="00850DA1"/>
    <w:rsid w:val="008674C1"/>
    <w:rsid w:val="00876050"/>
    <w:rsid w:val="00886066"/>
    <w:rsid w:val="00895FBE"/>
    <w:rsid w:val="008A09C8"/>
    <w:rsid w:val="008C5ACD"/>
    <w:rsid w:val="008E4791"/>
    <w:rsid w:val="008F052A"/>
    <w:rsid w:val="008F33DD"/>
    <w:rsid w:val="00915586"/>
    <w:rsid w:val="00916486"/>
    <w:rsid w:val="009423E3"/>
    <w:rsid w:val="009554CA"/>
    <w:rsid w:val="009701A8"/>
    <w:rsid w:val="009719AF"/>
    <w:rsid w:val="00973937"/>
    <w:rsid w:val="009864D1"/>
    <w:rsid w:val="00991893"/>
    <w:rsid w:val="009D40D2"/>
    <w:rsid w:val="00A1570C"/>
    <w:rsid w:val="00A2084C"/>
    <w:rsid w:val="00A236D9"/>
    <w:rsid w:val="00A62F55"/>
    <w:rsid w:val="00AB03AA"/>
    <w:rsid w:val="00AB1D05"/>
    <w:rsid w:val="00AC4CE1"/>
    <w:rsid w:val="00AD0FE3"/>
    <w:rsid w:val="00AD285E"/>
    <w:rsid w:val="00AD5098"/>
    <w:rsid w:val="00AE0873"/>
    <w:rsid w:val="00AE67EF"/>
    <w:rsid w:val="00B3788A"/>
    <w:rsid w:val="00B40156"/>
    <w:rsid w:val="00B62D17"/>
    <w:rsid w:val="00B66AEF"/>
    <w:rsid w:val="00B8563C"/>
    <w:rsid w:val="00B90DD8"/>
    <w:rsid w:val="00BA47D4"/>
    <w:rsid w:val="00BC40DF"/>
    <w:rsid w:val="00BC6225"/>
    <w:rsid w:val="00BE7BB0"/>
    <w:rsid w:val="00C460D8"/>
    <w:rsid w:val="00C637CE"/>
    <w:rsid w:val="00C7491D"/>
    <w:rsid w:val="00CB3EA0"/>
    <w:rsid w:val="00CF2088"/>
    <w:rsid w:val="00D07F52"/>
    <w:rsid w:val="00D1187A"/>
    <w:rsid w:val="00D1270F"/>
    <w:rsid w:val="00D40DA2"/>
    <w:rsid w:val="00D47795"/>
    <w:rsid w:val="00D77949"/>
    <w:rsid w:val="00D81578"/>
    <w:rsid w:val="00DA41E7"/>
    <w:rsid w:val="00DB058E"/>
    <w:rsid w:val="00DB1E7D"/>
    <w:rsid w:val="00DD105B"/>
    <w:rsid w:val="00DE4FE7"/>
    <w:rsid w:val="00E026D1"/>
    <w:rsid w:val="00E27BC3"/>
    <w:rsid w:val="00E36A36"/>
    <w:rsid w:val="00E567AB"/>
    <w:rsid w:val="00E91279"/>
    <w:rsid w:val="00EC7F89"/>
    <w:rsid w:val="00EE4938"/>
    <w:rsid w:val="00F1384E"/>
    <w:rsid w:val="00F32D3E"/>
    <w:rsid w:val="00F36B75"/>
    <w:rsid w:val="00F41957"/>
    <w:rsid w:val="00F90257"/>
    <w:rsid w:val="00FC5391"/>
    <w:rsid w:val="00FE113A"/>
    <w:rsid w:val="00FE76F9"/>
    <w:rsid w:val="00FF3604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945ED"/>
  <w15:docId w15:val="{FB80F118-6A11-404F-A859-FD9F0C92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E9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C6225"/>
    <w:pPr>
      <w:spacing w:before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0DD8"/>
    <w:pPr>
      <w:numPr>
        <w:numId w:val="2"/>
      </w:numPr>
      <w:tabs>
        <w:tab w:val="left" w:pos="851"/>
      </w:tabs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37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3D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3D7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3D7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68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8A8"/>
  </w:style>
  <w:style w:type="paragraph" w:styleId="Footer">
    <w:name w:val="footer"/>
    <w:basedOn w:val="Normal"/>
    <w:link w:val="FooterChar"/>
    <w:uiPriority w:val="99"/>
    <w:unhideWhenUsed/>
    <w:rsid w:val="002268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8A8"/>
  </w:style>
  <w:style w:type="character" w:customStyle="1" w:styleId="ListParagraphChar">
    <w:name w:val="List Paragraph Char"/>
    <w:link w:val="ListParagraph"/>
    <w:uiPriority w:val="34"/>
    <w:rsid w:val="00B90DD8"/>
    <w:rPr>
      <w:rFonts w:ascii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6225"/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Абзац списка2"/>
    <w:basedOn w:val="ListParagraph"/>
    <w:qFormat/>
    <w:rsid w:val="00B90DD8"/>
    <w:pPr>
      <w:numPr>
        <w:ilvl w:val="1"/>
        <w:numId w:val="3"/>
      </w:numPr>
      <w:tabs>
        <w:tab w:val="clear" w:pos="851"/>
        <w:tab w:val="left" w:pos="1134"/>
      </w:tabs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C633-11EF-4C4C-8336-089C59C0C344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25385</vt:lpwstr>
  </property>
  <property fmtid="{D5CDD505-2E9C-101B-9397-08002B2CF9AE}" pid="4" name="OptimizationTime">
    <vt:lpwstr>20201228_2142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Салмина</dc:creator>
  <cp:lastModifiedBy>Svetlana Sarnatskaya</cp:lastModifiedBy>
  <cp:revision>3</cp:revision>
  <dcterms:created xsi:type="dcterms:W3CDTF">2020-12-22T20:21:00Z</dcterms:created>
  <dcterms:modified xsi:type="dcterms:W3CDTF">2020-12-22T20:23:00Z</dcterms:modified>
</cp:coreProperties>
</file>